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pPr>
    </w:p>
    <w:p>
      <w:pPr>
        <w:jc w:val="center"/>
        <w:rPr>
          <w:rFonts w:eastAsia="方正小标宋_GBK"/>
          <w:sz w:val="44"/>
          <w:szCs w:val="44"/>
        </w:rPr>
      </w:pPr>
      <w:r>
        <w:rPr>
          <w:rFonts w:hint="eastAsia" w:eastAsia="方正小标宋_GBK"/>
          <w:sz w:val="44"/>
          <w:szCs w:val="44"/>
        </w:rPr>
        <w:t>唐山弘也水泥有限公司</w:t>
      </w: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sz w:val="36"/>
          <w:szCs w:val="44"/>
        </w:rPr>
      </w:pPr>
    </w:p>
    <w:p>
      <w:pPr>
        <w:jc w:val="center"/>
        <w:rPr>
          <w:rFonts w:eastAsia="方正小标宋_GBK"/>
          <w:sz w:val="48"/>
          <w:szCs w:val="48"/>
        </w:rPr>
      </w:pPr>
      <w:r>
        <w:rPr>
          <w:rFonts w:eastAsia="方正小标宋_GBK"/>
          <w:sz w:val="48"/>
          <w:szCs w:val="48"/>
        </w:rPr>
        <w:t>201</w:t>
      </w:r>
      <w:r>
        <w:rPr>
          <w:rFonts w:hint="eastAsia" w:eastAsia="方正小标宋_GBK"/>
          <w:sz w:val="48"/>
          <w:szCs w:val="48"/>
          <w:lang w:val="en-US" w:eastAsia="zh-CN"/>
        </w:rPr>
        <w:t>9</w:t>
      </w:r>
      <w:r>
        <w:rPr>
          <w:rFonts w:hint="eastAsia" w:eastAsia="方正小标宋_GBK"/>
          <w:sz w:val="48"/>
          <w:szCs w:val="48"/>
        </w:rPr>
        <w:t>年企业社会责任报告</w:t>
      </w:r>
    </w:p>
    <w:p>
      <w:pPr>
        <w:jc w:val="center"/>
        <w:rPr>
          <w:rFonts w:eastAsia="方正小标宋_GBK"/>
          <w:sz w:val="48"/>
          <w:szCs w:val="48"/>
        </w:rPr>
      </w:pPr>
    </w:p>
    <w:p>
      <w:pPr>
        <w:jc w:val="center"/>
        <w:rPr>
          <w:rFonts w:eastAsia="方正小标宋_GBK"/>
          <w:sz w:val="48"/>
          <w:szCs w:val="48"/>
        </w:rPr>
      </w:pPr>
    </w:p>
    <w:p>
      <w:pPr>
        <w:jc w:val="center"/>
        <w:rPr>
          <w:rFonts w:eastAsia="方正小标宋_GBK"/>
          <w:sz w:val="48"/>
          <w:szCs w:val="48"/>
        </w:rPr>
      </w:pPr>
    </w:p>
    <w:p>
      <w:pPr>
        <w:jc w:val="center"/>
        <w:rPr>
          <w:rFonts w:eastAsia="方正小标宋_GBK"/>
          <w:sz w:val="48"/>
          <w:szCs w:val="48"/>
        </w:rPr>
      </w:pPr>
    </w:p>
    <w:p>
      <w:pPr>
        <w:jc w:val="center"/>
        <w:rPr>
          <w:rFonts w:eastAsia="方正小标宋_GBK"/>
          <w:sz w:val="48"/>
          <w:szCs w:val="48"/>
        </w:rPr>
      </w:pPr>
    </w:p>
    <w:p>
      <w:pPr>
        <w:jc w:val="both"/>
        <w:rPr>
          <w:rFonts w:eastAsia="方正小标宋_GBK"/>
          <w:sz w:val="48"/>
          <w:szCs w:val="48"/>
        </w:rPr>
      </w:pPr>
      <w:bookmarkStart w:id="13" w:name="_GoBack"/>
      <w:bookmarkEnd w:id="13"/>
    </w:p>
    <w:p>
      <w:pPr>
        <w:jc w:val="center"/>
        <w:rPr>
          <w:rFonts w:eastAsia="方正小标宋_GBK"/>
          <w:sz w:val="48"/>
          <w:szCs w:val="48"/>
        </w:rPr>
      </w:pPr>
    </w:p>
    <w:p>
      <w:pPr>
        <w:jc w:val="center"/>
        <w:rPr>
          <w:rFonts w:eastAsia="方正小标宋_GBK"/>
          <w:sz w:val="36"/>
          <w:szCs w:val="36"/>
        </w:rPr>
      </w:pPr>
      <w:r>
        <w:rPr>
          <w:rFonts w:eastAsia="方正小标宋_GBK"/>
          <w:sz w:val="36"/>
          <w:szCs w:val="36"/>
        </w:rPr>
        <w:t>20</w:t>
      </w:r>
      <w:r>
        <w:rPr>
          <w:rFonts w:hint="eastAsia" w:eastAsia="方正小标宋_GBK"/>
          <w:sz w:val="36"/>
          <w:szCs w:val="36"/>
          <w:lang w:val="en-US" w:eastAsia="zh-CN"/>
        </w:rPr>
        <w:t>20</w:t>
      </w:r>
      <w:r>
        <w:rPr>
          <w:rFonts w:hint="eastAsia" w:eastAsia="方正小标宋_GBK"/>
          <w:sz w:val="36"/>
          <w:szCs w:val="36"/>
        </w:rPr>
        <w:t>年</w:t>
      </w:r>
      <w:r>
        <w:rPr>
          <w:rFonts w:eastAsia="方正小标宋_GBK"/>
          <w:sz w:val="36"/>
          <w:szCs w:val="36"/>
        </w:rPr>
        <w:t>2</w:t>
      </w:r>
      <w:r>
        <w:rPr>
          <w:rFonts w:hint="eastAsia" w:eastAsia="方正小标宋_GBK"/>
          <w:sz w:val="36"/>
          <w:szCs w:val="36"/>
        </w:rPr>
        <w:t>月</w:t>
      </w:r>
    </w:p>
    <w:p>
      <w:pPr>
        <w:rPr>
          <w:rFonts w:eastAsia="方正小标宋_GBK"/>
          <w:sz w:val="36"/>
          <w:szCs w:val="36"/>
        </w:rPr>
      </w:pPr>
    </w:p>
    <w:p>
      <w:pPr>
        <w:jc w:val="center"/>
        <w:rPr>
          <w:rFonts w:eastAsia="方正小标宋_GBK"/>
          <w:sz w:val="36"/>
          <w:szCs w:val="36"/>
        </w:rPr>
        <w:sectPr>
          <w:headerReference r:id="rId3" w:type="default"/>
          <w:footerReference r:id="rId4" w:type="default"/>
          <w:pgSz w:w="11906" w:h="16838"/>
          <w:pgMar w:top="1134" w:right="1134" w:bottom="1134" w:left="1418" w:header="851" w:footer="992" w:gutter="0"/>
          <w:cols w:space="425" w:num="1"/>
          <w:docGrid w:type="lines" w:linePitch="312" w:charSpace="0"/>
        </w:sectPr>
      </w:pPr>
    </w:p>
    <w:p>
      <w:pPr>
        <w:jc w:val="center"/>
        <w:rPr>
          <w:rFonts w:eastAsia="方正小标宋_GBK"/>
          <w:sz w:val="36"/>
          <w:szCs w:val="36"/>
        </w:rPr>
      </w:pPr>
      <w:r>
        <w:rPr>
          <w:rFonts w:hint="eastAsia" w:eastAsia="方正小标宋_GBK"/>
          <w:sz w:val="36"/>
          <w:szCs w:val="36"/>
        </w:rPr>
        <w:t>关于本报告说明</w:t>
      </w:r>
    </w:p>
    <w:p>
      <w:pPr>
        <w:jc w:val="center"/>
        <w:rPr>
          <w:rFonts w:eastAsia="方正小标宋_GBK"/>
          <w:sz w:val="36"/>
          <w:szCs w:val="36"/>
        </w:rPr>
      </w:pPr>
    </w:p>
    <w:p>
      <w:pPr>
        <w:ind w:firstLine="560" w:firstLineChars="200"/>
        <w:rPr>
          <w:color w:val="000000"/>
        </w:rPr>
      </w:pPr>
      <w:r>
        <w:rPr>
          <w:color w:val="000000"/>
        </w:rPr>
        <w:t>1</w:t>
      </w:r>
      <w:r>
        <w:rPr>
          <w:rFonts w:hint="eastAsia"/>
          <w:color w:val="000000"/>
        </w:rPr>
        <w:t>、报告简介：报告回顾了公司</w:t>
      </w:r>
      <w:r>
        <w:rPr>
          <w:color w:val="000000"/>
        </w:rPr>
        <w:t>201</w:t>
      </w:r>
      <w:r>
        <w:rPr>
          <w:rFonts w:hint="eastAsia"/>
          <w:color w:val="000000"/>
          <w:lang w:val="en-US" w:eastAsia="zh-CN"/>
        </w:rPr>
        <w:t>9</w:t>
      </w:r>
      <w:r>
        <w:rPr>
          <w:rFonts w:hint="eastAsia"/>
          <w:color w:val="000000"/>
        </w:rPr>
        <w:t>年在社会责任方面所做的各项工作，披露了公司履行经济、环境和社会责任方面的理念、践行和成绩。</w:t>
      </w:r>
    </w:p>
    <w:p>
      <w:pPr>
        <w:ind w:firstLine="560" w:firstLineChars="200"/>
        <w:rPr>
          <w:color w:val="000000"/>
        </w:rPr>
      </w:pPr>
      <w:r>
        <w:rPr>
          <w:color w:val="000000"/>
        </w:rPr>
        <w:t>2</w:t>
      </w:r>
      <w:r>
        <w:rPr>
          <w:rFonts w:hint="eastAsia"/>
          <w:color w:val="000000"/>
        </w:rPr>
        <w:t>、编写标准：本报告编制按照《中国企业社会责任报告指南》进行编制。</w:t>
      </w:r>
    </w:p>
    <w:p>
      <w:pPr>
        <w:ind w:firstLine="560" w:firstLineChars="200"/>
        <w:rPr>
          <w:color w:val="000000"/>
        </w:rPr>
      </w:pPr>
      <w:r>
        <w:rPr>
          <w:color w:val="000000"/>
        </w:rPr>
        <w:t>3</w:t>
      </w:r>
      <w:r>
        <w:rPr>
          <w:rFonts w:hint="eastAsia"/>
          <w:color w:val="000000"/>
        </w:rPr>
        <w:t>、时间范围：报告中的</w:t>
      </w:r>
      <w:r>
        <w:rPr>
          <w:color w:val="000000"/>
        </w:rPr>
        <w:t>201</w:t>
      </w:r>
      <w:r>
        <w:rPr>
          <w:rFonts w:hint="eastAsia"/>
          <w:color w:val="000000"/>
          <w:lang w:val="en-US" w:eastAsia="zh-CN"/>
        </w:rPr>
        <w:t>9</w:t>
      </w:r>
      <w:r>
        <w:rPr>
          <w:rFonts w:hint="eastAsia"/>
          <w:color w:val="000000"/>
        </w:rPr>
        <w:t>年指</w:t>
      </w:r>
      <w:r>
        <w:rPr>
          <w:color w:val="000000"/>
        </w:rPr>
        <w:t>201</w:t>
      </w:r>
      <w:r>
        <w:rPr>
          <w:rFonts w:hint="eastAsia"/>
          <w:color w:val="000000"/>
          <w:lang w:val="en-US" w:eastAsia="zh-CN"/>
        </w:rPr>
        <w:t>9</w:t>
      </w:r>
      <w:r>
        <w:rPr>
          <w:rFonts w:hint="eastAsia"/>
          <w:color w:val="000000"/>
        </w:rPr>
        <w:t>年</w:t>
      </w:r>
      <w:r>
        <w:rPr>
          <w:color w:val="000000"/>
        </w:rPr>
        <w:t>1</w:t>
      </w:r>
      <w:r>
        <w:rPr>
          <w:rFonts w:hint="eastAsia"/>
          <w:color w:val="000000"/>
        </w:rPr>
        <w:t>月</w:t>
      </w:r>
      <w:r>
        <w:rPr>
          <w:color w:val="000000"/>
        </w:rPr>
        <w:t>1</w:t>
      </w:r>
      <w:r>
        <w:rPr>
          <w:rFonts w:hint="eastAsia"/>
          <w:color w:val="000000"/>
        </w:rPr>
        <w:t>日至</w:t>
      </w:r>
      <w:r>
        <w:rPr>
          <w:color w:val="000000"/>
        </w:rPr>
        <w:t>201</w:t>
      </w:r>
      <w:r>
        <w:rPr>
          <w:rFonts w:hint="eastAsia"/>
          <w:color w:val="000000"/>
          <w:lang w:val="en-US" w:eastAsia="zh-CN"/>
        </w:rPr>
        <w:t>9</w:t>
      </w:r>
      <w:r>
        <w:rPr>
          <w:rFonts w:hint="eastAsia"/>
          <w:color w:val="000000"/>
        </w:rPr>
        <w:t>年</w:t>
      </w:r>
      <w:r>
        <w:rPr>
          <w:color w:val="000000"/>
        </w:rPr>
        <w:t>12</w:t>
      </w:r>
      <w:r>
        <w:rPr>
          <w:rFonts w:hint="eastAsia"/>
          <w:color w:val="000000"/>
        </w:rPr>
        <w:t>月</w:t>
      </w:r>
      <w:r>
        <w:rPr>
          <w:color w:val="000000"/>
        </w:rPr>
        <w:t>31</w:t>
      </w:r>
      <w:r>
        <w:rPr>
          <w:rFonts w:hint="eastAsia"/>
          <w:color w:val="000000"/>
        </w:rPr>
        <w:t>日，部分内容适当追溯以往年份。</w:t>
      </w:r>
    </w:p>
    <w:p>
      <w:pPr>
        <w:ind w:firstLine="560" w:firstLineChars="200"/>
        <w:rPr>
          <w:color w:val="000000"/>
        </w:rPr>
      </w:pPr>
      <w:r>
        <w:rPr>
          <w:color w:val="000000"/>
        </w:rPr>
        <w:t>4</w:t>
      </w:r>
      <w:r>
        <w:rPr>
          <w:rFonts w:hint="eastAsia"/>
          <w:color w:val="000000"/>
        </w:rPr>
        <w:t>、数据来源：唐山弘也水泥有限公司年报及内部信息统计。</w:t>
      </w:r>
    </w:p>
    <w:p>
      <w:pPr>
        <w:ind w:firstLine="560" w:firstLineChars="200"/>
        <w:rPr>
          <w:color w:val="000000"/>
        </w:rPr>
      </w:pPr>
      <w:r>
        <w:rPr>
          <w:color w:val="000000"/>
        </w:rPr>
        <w:t>5</w:t>
      </w:r>
      <w:r>
        <w:rPr>
          <w:rFonts w:hint="eastAsia"/>
          <w:color w:val="000000"/>
        </w:rPr>
        <w:t>、指代说明：为方便表述和阅读，“唐山弘也水泥有限公司”在本报告中也以“</w:t>
      </w:r>
      <w:r>
        <w:rPr>
          <w:rFonts w:hint="eastAsia"/>
          <w:color w:val="000000"/>
          <w:lang w:eastAsia="zh-CN"/>
        </w:rPr>
        <w:t>弘也</w:t>
      </w:r>
      <w:r>
        <w:rPr>
          <w:rFonts w:hint="eastAsia"/>
          <w:color w:val="000000"/>
        </w:rPr>
        <w:t>水泥”表示。</w:t>
      </w:r>
    </w:p>
    <w:p>
      <w:pPr>
        <w:ind w:firstLine="560" w:firstLineChars="200"/>
        <w:rPr>
          <w:color w:val="000000"/>
        </w:rPr>
      </w:pPr>
      <w:r>
        <w:rPr>
          <w:color w:val="000000"/>
        </w:rPr>
        <w:t>6</w:t>
      </w:r>
      <w:r>
        <w:rPr>
          <w:rFonts w:hint="eastAsia"/>
          <w:color w:val="000000"/>
        </w:rPr>
        <w:t>、报告获取：本报告为中文，在</w:t>
      </w:r>
      <w:r>
        <w:rPr>
          <w:rFonts w:hint="eastAsia"/>
          <w:color w:val="000000"/>
          <w:lang w:eastAsia="zh-CN"/>
        </w:rPr>
        <w:t>弘也</w:t>
      </w:r>
      <w:r>
        <w:rPr>
          <w:rFonts w:hint="eastAsia"/>
          <w:color w:val="000000"/>
        </w:rPr>
        <w:t>水泥集团有限公司官方网站可下载本报告的电子文档。</w:t>
      </w:r>
    </w:p>
    <w:p>
      <w:pPr>
        <w:ind w:firstLine="560" w:firstLineChars="200"/>
        <w:sectPr>
          <w:headerReference r:id="rId5" w:type="default"/>
          <w:pgSz w:w="11906" w:h="16838"/>
          <w:pgMar w:top="1134" w:right="1134" w:bottom="1134" w:left="1418" w:header="851" w:footer="992" w:gutter="0"/>
          <w:cols w:space="425" w:num="1"/>
          <w:docGrid w:type="lines" w:linePitch="312" w:charSpace="0"/>
        </w:sectPr>
      </w:pPr>
    </w:p>
    <w:p>
      <w:pPr>
        <w:ind w:firstLine="643" w:firstLineChars="200"/>
        <w:jc w:val="center"/>
        <w:rPr>
          <w:b/>
          <w:sz w:val="32"/>
          <w:szCs w:val="32"/>
        </w:rPr>
      </w:pPr>
    </w:p>
    <w:p>
      <w:pPr>
        <w:ind w:firstLine="643" w:firstLineChars="200"/>
        <w:jc w:val="center"/>
        <w:rPr>
          <w:b/>
          <w:sz w:val="32"/>
          <w:szCs w:val="32"/>
        </w:rPr>
      </w:pPr>
      <w:r>
        <w:rPr>
          <w:rFonts w:hint="eastAsia"/>
          <w:b/>
          <w:sz w:val="32"/>
          <w:szCs w:val="32"/>
        </w:rPr>
        <w:t>目录</w:t>
      </w:r>
    </w:p>
    <w:p>
      <w:pPr>
        <w:pStyle w:val="20"/>
        <w:tabs>
          <w:tab w:val="left" w:pos="630"/>
          <w:tab w:val="right" w:leader="dot" w:pos="9344"/>
        </w:tabs>
        <w:rPr>
          <w:rFonts w:ascii="Calibri" w:hAnsi="Calibri"/>
          <w:sz w:val="21"/>
        </w:rPr>
      </w:pPr>
      <w:r>
        <w:fldChar w:fldCharType="begin"/>
      </w:r>
      <w:r>
        <w:instrText xml:space="preserve">TOC \o "1-2" \h \z \u</w:instrText>
      </w:r>
      <w:r>
        <w:fldChar w:fldCharType="separate"/>
      </w:r>
      <w:r>
        <w:fldChar w:fldCharType="begin"/>
      </w:r>
      <w:r>
        <w:instrText xml:space="preserve"> HYPERLINK \l "_Toc5262382" </w:instrText>
      </w:r>
      <w:r>
        <w:fldChar w:fldCharType="separate"/>
      </w:r>
      <w:r>
        <w:rPr>
          <w:rStyle w:val="27"/>
        </w:rPr>
        <w:t>1</w:t>
      </w:r>
      <w:r>
        <w:rPr>
          <w:rFonts w:ascii="Calibri" w:hAnsi="Calibri"/>
          <w:sz w:val="21"/>
        </w:rPr>
        <w:tab/>
      </w:r>
      <w:r>
        <w:rPr>
          <w:rStyle w:val="27"/>
        </w:rPr>
        <w:t>前言</w:t>
      </w:r>
      <w:r>
        <w:tab/>
      </w:r>
      <w:r>
        <w:fldChar w:fldCharType="begin"/>
      </w:r>
      <w:r>
        <w:instrText xml:space="preserve"> PAGEREF _Toc5262382 \h </w:instrText>
      </w:r>
      <w:r>
        <w:fldChar w:fldCharType="separate"/>
      </w:r>
      <w:r>
        <w:t>1</w:t>
      </w:r>
      <w:r>
        <w:fldChar w:fldCharType="end"/>
      </w:r>
      <w:r>
        <w:fldChar w:fldCharType="end"/>
      </w:r>
    </w:p>
    <w:p>
      <w:pPr>
        <w:pStyle w:val="20"/>
        <w:tabs>
          <w:tab w:val="left" w:pos="630"/>
          <w:tab w:val="right" w:leader="dot" w:pos="9344"/>
        </w:tabs>
        <w:rPr>
          <w:rFonts w:ascii="Calibri" w:hAnsi="Calibri"/>
          <w:sz w:val="21"/>
        </w:rPr>
      </w:pPr>
      <w:r>
        <w:fldChar w:fldCharType="begin"/>
      </w:r>
      <w:r>
        <w:instrText xml:space="preserve"> HYPERLINK \l "_Toc5262383" </w:instrText>
      </w:r>
      <w:r>
        <w:fldChar w:fldCharType="separate"/>
      </w:r>
      <w:r>
        <w:rPr>
          <w:rStyle w:val="27"/>
        </w:rPr>
        <w:t>2</w:t>
      </w:r>
      <w:r>
        <w:rPr>
          <w:rFonts w:ascii="Calibri" w:hAnsi="Calibri"/>
          <w:sz w:val="21"/>
        </w:rPr>
        <w:tab/>
      </w:r>
      <w:r>
        <w:rPr>
          <w:rStyle w:val="27"/>
        </w:rPr>
        <w:t>公司概况</w:t>
      </w:r>
      <w:r>
        <w:tab/>
      </w:r>
      <w:r>
        <w:fldChar w:fldCharType="begin"/>
      </w:r>
      <w:r>
        <w:instrText xml:space="preserve"> PAGEREF _Toc5262383 \h </w:instrText>
      </w:r>
      <w:r>
        <w:fldChar w:fldCharType="separate"/>
      </w:r>
      <w:r>
        <w:t>4</w:t>
      </w:r>
      <w:r>
        <w:fldChar w:fldCharType="end"/>
      </w:r>
      <w:r>
        <w:fldChar w:fldCharType="end"/>
      </w:r>
    </w:p>
    <w:p>
      <w:pPr>
        <w:pStyle w:val="20"/>
        <w:tabs>
          <w:tab w:val="left" w:pos="630"/>
          <w:tab w:val="right" w:leader="dot" w:pos="9344"/>
        </w:tabs>
        <w:rPr>
          <w:rFonts w:ascii="Calibri" w:hAnsi="Calibri"/>
          <w:sz w:val="21"/>
        </w:rPr>
      </w:pPr>
      <w:r>
        <w:fldChar w:fldCharType="begin"/>
      </w:r>
      <w:r>
        <w:instrText xml:space="preserve"> HYPERLINK \l "_Toc5262384" </w:instrText>
      </w:r>
      <w:r>
        <w:fldChar w:fldCharType="separate"/>
      </w:r>
      <w:r>
        <w:rPr>
          <w:rStyle w:val="27"/>
        </w:rPr>
        <w:t>3</w:t>
      </w:r>
      <w:r>
        <w:rPr>
          <w:rFonts w:ascii="Calibri" w:hAnsi="Calibri"/>
          <w:sz w:val="21"/>
        </w:rPr>
        <w:tab/>
      </w:r>
      <w:r>
        <w:rPr>
          <w:rStyle w:val="27"/>
        </w:rPr>
        <w:t>关键绩效</w:t>
      </w:r>
      <w:r>
        <w:tab/>
      </w:r>
      <w:r>
        <w:fldChar w:fldCharType="begin"/>
      </w:r>
      <w:r>
        <w:instrText xml:space="preserve"> PAGEREF _Toc5262384 \h </w:instrText>
      </w:r>
      <w:r>
        <w:fldChar w:fldCharType="separate"/>
      </w:r>
      <w:r>
        <w:t>5</w:t>
      </w:r>
      <w:r>
        <w:fldChar w:fldCharType="end"/>
      </w:r>
      <w:r>
        <w:fldChar w:fldCharType="end"/>
      </w:r>
    </w:p>
    <w:p>
      <w:pPr>
        <w:pStyle w:val="20"/>
        <w:tabs>
          <w:tab w:val="left" w:pos="630"/>
          <w:tab w:val="right" w:leader="dot" w:pos="9344"/>
        </w:tabs>
        <w:rPr>
          <w:rFonts w:ascii="Calibri" w:hAnsi="Calibri"/>
          <w:sz w:val="21"/>
        </w:rPr>
      </w:pPr>
      <w:r>
        <w:fldChar w:fldCharType="begin"/>
      </w:r>
      <w:r>
        <w:instrText xml:space="preserve"> HYPERLINK \l "_Toc5262385" </w:instrText>
      </w:r>
      <w:r>
        <w:fldChar w:fldCharType="separate"/>
      </w:r>
      <w:r>
        <w:rPr>
          <w:rStyle w:val="27"/>
        </w:rPr>
        <w:t>4</w:t>
      </w:r>
      <w:r>
        <w:rPr>
          <w:rFonts w:ascii="Calibri" w:hAnsi="Calibri"/>
          <w:sz w:val="21"/>
        </w:rPr>
        <w:tab/>
      </w:r>
      <w:r>
        <w:rPr>
          <w:rStyle w:val="27"/>
        </w:rPr>
        <w:t>价值创造</w:t>
      </w:r>
      <w:r>
        <w:tab/>
      </w:r>
      <w:r>
        <w:fldChar w:fldCharType="begin"/>
      </w:r>
      <w:r>
        <w:instrText xml:space="preserve"> PAGEREF _Toc5262385 \h </w:instrText>
      </w:r>
      <w:r>
        <w:fldChar w:fldCharType="separate"/>
      </w:r>
      <w:r>
        <w:t>6</w:t>
      </w:r>
      <w:r>
        <w:fldChar w:fldCharType="end"/>
      </w:r>
      <w:r>
        <w:fldChar w:fldCharType="end"/>
      </w:r>
    </w:p>
    <w:p>
      <w:pPr>
        <w:pStyle w:val="21"/>
        <w:tabs>
          <w:tab w:val="right" w:leader="dot" w:pos="9344"/>
        </w:tabs>
        <w:ind w:left="560"/>
        <w:rPr>
          <w:rFonts w:ascii="Calibri" w:hAnsi="Calibri"/>
          <w:sz w:val="21"/>
        </w:rPr>
      </w:pPr>
      <w:r>
        <w:fldChar w:fldCharType="begin"/>
      </w:r>
      <w:r>
        <w:instrText xml:space="preserve"> HYPERLINK \l "_Toc5262386" </w:instrText>
      </w:r>
      <w:r>
        <w:fldChar w:fldCharType="separate"/>
      </w:r>
      <w:r>
        <w:rPr>
          <w:rStyle w:val="27"/>
        </w:rPr>
        <w:t>4.1经营业绩</w:t>
      </w:r>
      <w:r>
        <w:tab/>
      </w:r>
      <w:r>
        <w:fldChar w:fldCharType="begin"/>
      </w:r>
      <w:r>
        <w:instrText xml:space="preserve"> PAGEREF _Toc5262386 \h </w:instrText>
      </w:r>
      <w:r>
        <w:fldChar w:fldCharType="separate"/>
      </w:r>
      <w:r>
        <w:t>6</w:t>
      </w:r>
      <w:r>
        <w:fldChar w:fldCharType="end"/>
      </w:r>
      <w:r>
        <w:fldChar w:fldCharType="end"/>
      </w:r>
    </w:p>
    <w:p>
      <w:pPr>
        <w:pStyle w:val="21"/>
        <w:tabs>
          <w:tab w:val="right" w:leader="dot" w:pos="9344"/>
        </w:tabs>
        <w:ind w:left="560"/>
        <w:rPr>
          <w:rFonts w:ascii="Calibri" w:hAnsi="Calibri"/>
          <w:sz w:val="21"/>
        </w:rPr>
      </w:pPr>
      <w:r>
        <w:fldChar w:fldCharType="begin"/>
      </w:r>
      <w:r>
        <w:instrText xml:space="preserve"> HYPERLINK \l "_Toc5262387" </w:instrText>
      </w:r>
      <w:r>
        <w:fldChar w:fldCharType="separate"/>
      </w:r>
      <w:r>
        <w:rPr>
          <w:rStyle w:val="27"/>
        </w:rPr>
        <w:t>4.2产品与技术创新</w:t>
      </w:r>
      <w:r>
        <w:tab/>
      </w:r>
      <w:r>
        <w:fldChar w:fldCharType="begin"/>
      </w:r>
      <w:r>
        <w:instrText xml:space="preserve"> PAGEREF _Toc5262387 \h </w:instrText>
      </w:r>
      <w:r>
        <w:fldChar w:fldCharType="separate"/>
      </w:r>
      <w:r>
        <w:t>6</w:t>
      </w:r>
      <w:r>
        <w:fldChar w:fldCharType="end"/>
      </w:r>
      <w:r>
        <w:fldChar w:fldCharType="end"/>
      </w:r>
    </w:p>
    <w:p>
      <w:pPr>
        <w:pStyle w:val="20"/>
        <w:tabs>
          <w:tab w:val="left" w:pos="630"/>
          <w:tab w:val="right" w:leader="dot" w:pos="9344"/>
        </w:tabs>
        <w:rPr>
          <w:rFonts w:ascii="Calibri" w:hAnsi="Calibri"/>
          <w:sz w:val="21"/>
        </w:rPr>
      </w:pPr>
      <w:r>
        <w:fldChar w:fldCharType="begin"/>
      </w:r>
      <w:r>
        <w:instrText xml:space="preserve"> HYPERLINK \l "_Toc5262388" </w:instrText>
      </w:r>
      <w:r>
        <w:fldChar w:fldCharType="separate"/>
      </w:r>
      <w:r>
        <w:rPr>
          <w:rStyle w:val="27"/>
        </w:rPr>
        <w:t>5</w:t>
      </w:r>
      <w:r>
        <w:rPr>
          <w:rFonts w:ascii="Calibri" w:hAnsi="Calibri"/>
          <w:sz w:val="21"/>
        </w:rPr>
        <w:tab/>
      </w:r>
      <w:r>
        <w:rPr>
          <w:rStyle w:val="27"/>
        </w:rPr>
        <w:t>安全生产</w:t>
      </w:r>
      <w:r>
        <w:tab/>
      </w:r>
      <w:r>
        <w:fldChar w:fldCharType="begin"/>
      </w:r>
      <w:r>
        <w:instrText xml:space="preserve"> PAGEREF _Toc5262388 \h </w:instrText>
      </w:r>
      <w:r>
        <w:fldChar w:fldCharType="separate"/>
      </w:r>
      <w:r>
        <w:t>9</w:t>
      </w:r>
      <w:r>
        <w:fldChar w:fldCharType="end"/>
      </w:r>
      <w:r>
        <w:fldChar w:fldCharType="end"/>
      </w:r>
    </w:p>
    <w:p>
      <w:pPr>
        <w:pStyle w:val="21"/>
        <w:tabs>
          <w:tab w:val="right" w:leader="dot" w:pos="9344"/>
        </w:tabs>
        <w:ind w:left="560"/>
        <w:rPr>
          <w:rFonts w:ascii="Calibri" w:hAnsi="Calibri"/>
          <w:sz w:val="21"/>
        </w:rPr>
      </w:pPr>
      <w:r>
        <w:fldChar w:fldCharType="begin"/>
      </w:r>
      <w:r>
        <w:instrText xml:space="preserve"> HYPERLINK \l "_Toc5262389" </w:instrText>
      </w:r>
      <w:r>
        <w:fldChar w:fldCharType="separate"/>
      </w:r>
      <w:r>
        <w:rPr>
          <w:rStyle w:val="27"/>
        </w:rPr>
        <w:t>5.1倡导安全文化</w:t>
      </w:r>
      <w:r>
        <w:tab/>
      </w:r>
      <w:r>
        <w:fldChar w:fldCharType="begin"/>
      </w:r>
      <w:r>
        <w:instrText xml:space="preserve"> PAGEREF _Toc5262389 \h </w:instrText>
      </w:r>
      <w:r>
        <w:fldChar w:fldCharType="separate"/>
      </w:r>
      <w:r>
        <w:t>9</w:t>
      </w:r>
      <w:r>
        <w:fldChar w:fldCharType="end"/>
      </w:r>
      <w:r>
        <w:fldChar w:fldCharType="end"/>
      </w:r>
    </w:p>
    <w:p>
      <w:pPr>
        <w:pStyle w:val="21"/>
        <w:tabs>
          <w:tab w:val="right" w:leader="dot" w:pos="9344"/>
        </w:tabs>
        <w:ind w:left="560"/>
        <w:rPr>
          <w:rFonts w:ascii="Calibri" w:hAnsi="Calibri"/>
          <w:sz w:val="21"/>
        </w:rPr>
      </w:pPr>
      <w:r>
        <w:fldChar w:fldCharType="begin"/>
      </w:r>
      <w:r>
        <w:instrText xml:space="preserve"> HYPERLINK \l "_Toc5262390" </w:instrText>
      </w:r>
      <w:r>
        <w:fldChar w:fldCharType="separate"/>
      </w:r>
      <w:r>
        <w:rPr>
          <w:rStyle w:val="27"/>
        </w:rPr>
        <w:t>5.2落实安全责任制</w:t>
      </w:r>
      <w:r>
        <w:tab/>
      </w:r>
      <w:r>
        <w:fldChar w:fldCharType="begin"/>
      </w:r>
      <w:r>
        <w:instrText xml:space="preserve"> PAGEREF _Toc5262390 \h </w:instrText>
      </w:r>
      <w:r>
        <w:fldChar w:fldCharType="separate"/>
      </w:r>
      <w:r>
        <w:t>9</w:t>
      </w:r>
      <w:r>
        <w:fldChar w:fldCharType="end"/>
      </w:r>
      <w:r>
        <w:fldChar w:fldCharType="end"/>
      </w:r>
    </w:p>
    <w:p>
      <w:pPr>
        <w:pStyle w:val="21"/>
        <w:tabs>
          <w:tab w:val="right" w:leader="dot" w:pos="9344"/>
        </w:tabs>
        <w:ind w:left="560"/>
        <w:rPr>
          <w:rFonts w:ascii="Calibri" w:hAnsi="Calibri"/>
          <w:sz w:val="21"/>
        </w:rPr>
      </w:pPr>
      <w:r>
        <w:fldChar w:fldCharType="begin"/>
      </w:r>
      <w:r>
        <w:instrText xml:space="preserve"> HYPERLINK \l "_Toc5262391" </w:instrText>
      </w:r>
      <w:r>
        <w:fldChar w:fldCharType="separate"/>
      </w:r>
      <w:r>
        <w:rPr>
          <w:rStyle w:val="27"/>
        </w:rPr>
        <w:t>5.3创新安全培训管理</w:t>
      </w:r>
      <w:r>
        <w:tab/>
      </w:r>
      <w:r>
        <w:fldChar w:fldCharType="begin"/>
      </w:r>
      <w:r>
        <w:instrText xml:space="preserve"> PAGEREF _Toc5262391 \h </w:instrText>
      </w:r>
      <w:r>
        <w:fldChar w:fldCharType="separate"/>
      </w:r>
      <w:r>
        <w:t>9</w:t>
      </w:r>
      <w:r>
        <w:fldChar w:fldCharType="end"/>
      </w:r>
      <w:r>
        <w:fldChar w:fldCharType="end"/>
      </w:r>
    </w:p>
    <w:p>
      <w:pPr>
        <w:pStyle w:val="21"/>
        <w:tabs>
          <w:tab w:val="right" w:leader="dot" w:pos="9344"/>
        </w:tabs>
        <w:ind w:left="560"/>
        <w:rPr>
          <w:rFonts w:ascii="Calibri" w:hAnsi="Calibri"/>
          <w:sz w:val="21"/>
        </w:rPr>
      </w:pPr>
      <w:r>
        <w:fldChar w:fldCharType="begin"/>
      </w:r>
      <w:r>
        <w:instrText xml:space="preserve"> HYPERLINK \l "_Toc5262392" </w:instrText>
      </w:r>
      <w:r>
        <w:fldChar w:fldCharType="separate"/>
      </w:r>
      <w:r>
        <w:rPr>
          <w:rStyle w:val="27"/>
        </w:rPr>
        <w:t>5.4提高风险辨识和防控能力</w:t>
      </w:r>
      <w:r>
        <w:tab/>
      </w:r>
      <w:r>
        <w:fldChar w:fldCharType="begin"/>
      </w:r>
      <w:r>
        <w:instrText xml:space="preserve"> PAGEREF _Toc5262392 \h </w:instrText>
      </w:r>
      <w:r>
        <w:fldChar w:fldCharType="separate"/>
      </w:r>
      <w:r>
        <w:t>10</w:t>
      </w:r>
      <w:r>
        <w:fldChar w:fldCharType="end"/>
      </w:r>
      <w:r>
        <w:fldChar w:fldCharType="end"/>
      </w:r>
    </w:p>
    <w:p>
      <w:pPr>
        <w:pStyle w:val="20"/>
        <w:tabs>
          <w:tab w:val="left" w:pos="630"/>
          <w:tab w:val="right" w:leader="dot" w:pos="9344"/>
        </w:tabs>
        <w:rPr>
          <w:rFonts w:ascii="Calibri" w:hAnsi="Calibri"/>
          <w:sz w:val="21"/>
        </w:rPr>
      </w:pPr>
      <w:r>
        <w:fldChar w:fldCharType="begin"/>
      </w:r>
      <w:r>
        <w:instrText xml:space="preserve"> HYPERLINK \l "_Toc5262393" </w:instrText>
      </w:r>
      <w:r>
        <w:fldChar w:fldCharType="separate"/>
      </w:r>
      <w:r>
        <w:rPr>
          <w:rStyle w:val="27"/>
        </w:rPr>
        <w:t>6</w:t>
      </w:r>
      <w:r>
        <w:rPr>
          <w:rFonts w:ascii="Calibri" w:hAnsi="Calibri"/>
          <w:sz w:val="21"/>
        </w:rPr>
        <w:tab/>
      </w:r>
      <w:r>
        <w:rPr>
          <w:rStyle w:val="27"/>
        </w:rPr>
        <w:t>员工责任</w:t>
      </w:r>
      <w:r>
        <w:tab/>
      </w:r>
      <w:r>
        <w:fldChar w:fldCharType="begin"/>
      </w:r>
      <w:r>
        <w:instrText xml:space="preserve"> PAGEREF _Toc5262393 \h </w:instrText>
      </w:r>
      <w:r>
        <w:fldChar w:fldCharType="separate"/>
      </w:r>
      <w:r>
        <w:t>11</w:t>
      </w:r>
      <w:r>
        <w:fldChar w:fldCharType="end"/>
      </w:r>
      <w:r>
        <w:fldChar w:fldCharType="end"/>
      </w:r>
    </w:p>
    <w:p>
      <w:pPr>
        <w:pStyle w:val="20"/>
        <w:tabs>
          <w:tab w:val="left" w:pos="630"/>
          <w:tab w:val="right" w:leader="dot" w:pos="9344"/>
        </w:tabs>
        <w:rPr>
          <w:rFonts w:ascii="Calibri" w:hAnsi="Calibri"/>
          <w:sz w:val="21"/>
        </w:rPr>
      </w:pPr>
      <w:r>
        <w:fldChar w:fldCharType="begin"/>
      </w:r>
      <w:r>
        <w:instrText xml:space="preserve"> HYPERLINK \l "_Toc5262394" </w:instrText>
      </w:r>
      <w:r>
        <w:fldChar w:fldCharType="separate"/>
      </w:r>
      <w:r>
        <w:rPr>
          <w:rStyle w:val="27"/>
        </w:rPr>
        <w:t>7</w:t>
      </w:r>
      <w:r>
        <w:rPr>
          <w:rFonts w:ascii="Calibri" w:hAnsi="Calibri"/>
          <w:sz w:val="21"/>
        </w:rPr>
        <w:tab/>
      </w:r>
      <w:r>
        <w:rPr>
          <w:rStyle w:val="27"/>
        </w:rPr>
        <w:t>绿色环保</w:t>
      </w:r>
      <w:r>
        <w:tab/>
      </w:r>
      <w:r>
        <w:fldChar w:fldCharType="begin"/>
      </w:r>
      <w:r>
        <w:instrText xml:space="preserve"> PAGEREF _Toc5262394 \h </w:instrText>
      </w:r>
      <w:r>
        <w:fldChar w:fldCharType="separate"/>
      </w:r>
      <w:r>
        <w:t>14</w:t>
      </w:r>
      <w:r>
        <w:fldChar w:fldCharType="end"/>
      </w:r>
      <w:r>
        <w:fldChar w:fldCharType="end"/>
      </w:r>
    </w:p>
    <w:p>
      <w:pPr>
        <w:ind w:firstLine="560" w:firstLineChars="200"/>
      </w:pPr>
      <w:r>
        <w:fldChar w:fldCharType="end"/>
      </w:r>
    </w:p>
    <w:p>
      <w:pPr>
        <w:ind w:firstLine="560" w:firstLineChars="200"/>
        <w:sectPr>
          <w:footerReference r:id="rId6" w:type="default"/>
          <w:pgSz w:w="11906" w:h="16838"/>
          <w:pgMar w:top="1134" w:right="1134" w:bottom="1134" w:left="1418" w:header="851" w:footer="992" w:gutter="0"/>
          <w:pgNumType w:fmt="lowerRoman" w:start="1"/>
          <w:cols w:space="425" w:num="1"/>
          <w:docGrid w:type="lines" w:linePitch="312" w:charSpace="0"/>
        </w:sectPr>
      </w:pPr>
    </w:p>
    <w:p>
      <w:pPr>
        <w:pStyle w:val="2"/>
      </w:pPr>
      <w:bookmarkStart w:id="0" w:name="_Toc5262382"/>
      <w:r>
        <w:rPr>
          <w:rFonts w:hint="eastAsia"/>
        </w:rPr>
        <w:t>前言</w:t>
      </w:r>
      <w:bookmarkEnd w:id="0"/>
    </w:p>
    <w:p>
      <w:pPr>
        <w:widowControl/>
        <w:spacing w:line="240" w:lineRule="auto"/>
        <w:ind w:firstLine="560" w:firstLineChars="200"/>
        <w:jc w:val="left"/>
      </w:pPr>
      <w:r>
        <w:rPr>
          <w:rFonts w:hint="eastAsia"/>
        </w:rPr>
        <w:t>水泥行业发展所面临的问题主要集中在环境上，世界各国均对水泥工业对环境的污染和如何有效地治理给予了高度的关注。在这方面，我国非常重视，对水泥企业的粉尘排放浓度、空气中</w:t>
      </w:r>
      <w:r>
        <w:t>SO</w:t>
      </w:r>
      <w:r>
        <w:rPr>
          <w:rFonts w:eastAsia="MS Gothic"/>
        </w:rPr>
        <w:t>₂</w:t>
      </w:r>
      <w:r>
        <w:rPr>
          <w:rFonts w:hint="eastAsia"/>
        </w:rPr>
        <w:t>含量等指标都有强制性的规定。</w:t>
      </w:r>
    </w:p>
    <w:p>
      <w:pPr>
        <w:widowControl/>
        <w:spacing w:line="240" w:lineRule="auto"/>
        <w:ind w:firstLine="560" w:firstLineChars="200"/>
        <w:jc w:val="left"/>
      </w:pPr>
      <w:r>
        <w:rPr>
          <w:rFonts w:hint="eastAsia"/>
        </w:rPr>
        <w:t>当前世界水泥工业的环保工作已开始从“被动治理”转向“主动治理”，从“单项指标控制”到“综合指标控制”的阶段。与此同时，世界水泥工业从考虑可持续发展战略出发，利用水泥工艺自身可以大量处理其他工业产生的废料</w:t>
      </w:r>
      <w:r>
        <w:t>(</w:t>
      </w:r>
      <w:r>
        <w:rPr>
          <w:rFonts w:hint="eastAsia"/>
        </w:rPr>
        <w:t>粉煤灰、废渣、转炉渣、煤矸石、硫酸渣、脱硫石膏等</w:t>
      </w:r>
      <w:r>
        <w:t>)</w:t>
      </w:r>
      <w:r>
        <w:rPr>
          <w:rFonts w:hint="eastAsia"/>
        </w:rPr>
        <w:t>作为其可利用的原料、燃料的特点，积极进行废料的再加工和再利用的研究开发工作，并取得了很大的进步。</w:t>
      </w:r>
    </w:p>
    <w:p>
      <w:pPr>
        <w:widowControl/>
        <w:spacing w:line="240" w:lineRule="auto"/>
        <w:ind w:firstLine="560" w:firstLineChars="200"/>
        <w:jc w:val="left"/>
      </w:pPr>
      <w:r>
        <w:rPr>
          <w:rFonts w:hint="eastAsia"/>
        </w:rPr>
        <w:t>国务院印发的《节能减排综合性工作方案》，明确了</w:t>
      </w:r>
      <w:r>
        <w:t>2015</w:t>
      </w:r>
      <w:r>
        <w:rPr>
          <w:rFonts w:hint="eastAsia"/>
        </w:rPr>
        <w:t>年中国实现节能减排的目标任务和总体要求。指出到</w:t>
      </w:r>
      <w:r>
        <w:t>2015</w:t>
      </w:r>
      <w:r>
        <w:rPr>
          <w:rFonts w:hint="eastAsia"/>
        </w:rPr>
        <w:t>年，全国万元国内生产总值能耗下降到</w:t>
      </w:r>
      <w:r>
        <w:t>0.869</w:t>
      </w:r>
      <w:r>
        <w:rPr>
          <w:rFonts w:hint="eastAsia"/>
        </w:rPr>
        <w:t>吨标准煤（按</w:t>
      </w:r>
      <w:r>
        <w:t>2005</w:t>
      </w:r>
      <w:r>
        <w:rPr>
          <w:rFonts w:hint="eastAsia"/>
        </w:rPr>
        <w:t>年价格计算），比</w:t>
      </w:r>
      <w:r>
        <w:t>2010</w:t>
      </w:r>
      <w:r>
        <w:rPr>
          <w:rFonts w:hint="eastAsia"/>
        </w:rPr>
        <w:t>年的</w:t>
      </w:r>
      <w:r>
        <w:t>1.034</w:t>
      </w:r>
      <w:r>
        <w:rPr>
          <w:rFonts w:hint="eastAsia"/>
        </w:rPr>
        <w:t>吨标准煤下降</w:t>
      </w:r>
      <w:r>
        <w:t>16%</w:t>
      </w:r>
      <w:r>
        <w:rPr>
          <w:rFonts w:hint="eastAsia"/>
        </w:rPr>
        <w:t>（比</w:t>
      </w:r>
      <w:r>
        <w:t>2005</w:t>
      </w:r>
      <w:r>
        <w:rPr>
          <w:rFonts w:hint="eastAsia"/>
        </w:rPr>
        <w:t>年的</w:t>
      </w:r>
      <w:r>
        <w:t>1.276</w:t>
      </w:r>
      <w:r>
        <w:rPr>
          <w:rFonts w:hint="eastAsia"/>
        </w:rPr>
        <w:t>吨标准煤下降</w:t>
      </w:r>
      <w:r>
        <w:t>32%</w:t>
      </w:r>
      <w:r>
        <w:rPr>
          <w:rFonts w:hint="eastAsia"/>
        </w:rPr>
        <w:t>）。“十二五”期间，实现节约能源</w:t>
      </w:r>
      <w:r>
        <w:t>6.7</w:t>
      </w:r>
      <w:r>
        <w:rPr>
          <w:rFonts w:hint="eastAsia"/>
        </w:rPr>
        <w:t>亿吨标准煤。</w:t>
      </w:r>
    </w:p>
    <w:p>
      <w:pPr>
        <w:widowControl/>
        <w:spacing w:line="240" w:lineRule="auto"/>
        <w:ind w:firstLine="560" w:firstLineChars="200"/>
        <w:jc w:val="left"/>
      </w:pPr>
      <w:r>
        <w:rPr>
          <w:rFonts w:hint="eastAsia"/>
        </w:rPr>
        <w:t>在生态资源和环境保护方面，中国的水泥企业还存在诸多的问题需要去解决，“三废”问题仍然大量存在。此外，如何利用城市垃圾制造环保水泥，与传统水泥企业进行有机结合，也是许多水泥企业值得去探索的一种新思路。从长远的角度看，生态环境保护是水泥企业必须高度重视的问题。</w:t>
      </w:r>
    </w:p>
    <w:p>
      <w:pPr>
        <w:widowControl/>
        <w:spacing w:line="240" w:lineRule="auto"/>
        <w:ind w:firstLine="560" w:firstLineChars="200"/>
        <w:jc w:val="left"/>
      </w:pPr>
      <w:r>
        <w:rPr>
          <w:rFonts w:hint="eastAsia"/>
        </w:rPr>
        <w:t>企业社会责任指企业在谋求利润最大化之外的所应负有的谋求和增进社会利益的义务，包括依法经营，诚实守信，安全生产，职业健康，保护劳动者的合法权益，满足人的发展需求，保护环境，节约和爱护资源，支持慈善事业，捐助社会公益，追求创新、推动技术进步等等。从企业内部看，就是要保障员工的尊严和福利待遇，从外部看，就是要发挥企业在社会环境中的良好作用。</w:t>
      </w:r>
    </w:p>
    <w:p>
      <w:pPr>
        <w:widowControl/>
        <w:spacing w:line="240" w:lineRule="auto"/>
        <w:ind w:firstLine="560" w:firstLineChars="200"/>
        <w:jc w:val="left"/>
      </w:pPr>
      <w:r>
        <w:rPr>
          <w:rFonts w:hint="eastAsia"/>
        </w:rPr>
        <w:t>目前，我们国内的大部分企业，把履行企业社会责任，当作一种负担，所以消极对待，或视其对企业在短期内能否带来看得见的经济效益作为取舍履行的标准。这种眼光是十分短视且有害的，肯定不利于企业可持续发展。</w:t>
      </w:r>
    </w:p>
    <w:p>
      <w:pPr>
        <w:widowControl/>
        <w:spacing w:line="240" w:lineRule="auto"/>
        <w:jc w:val="left"/>
      </w:pPr>
      <w:r>
        <w:rPr>
          <w:rFonts w:hint="eastAsia"/>
        </w:rPr>
        <w:t>企业社会责任是中国经济发展的必然要求。随着科技的进步和经济的发展，产品本身在功能、外形等方面的同质化日益加深，价格战愈演愈烈，企业的社会责任已经成为价格、质量之后参与市场竞争的核心竞争力之一。因此，企业的社会责任可以转化为发展机遇，承担社会责任并非只是消极的负担，不但可以创造直接的市场机会，还可以提升企业形象，增加无形资产，扩大品牌效应，提高美誉度，凝聚优秀人才，赢得消费者及合作者信任，降低生产成本，提高盈利能力，有利于企业的可持续发展。</w:t>
      </w:r>
    </w:p>
    <w:p>
      <w:pPr>
        <w:widowControl/>
        <w:spacing w:line="240" w:lineRule="auto"/>
        <w:ind w:firstLine="560" w:firstLineChars="200"/>
        <w:jc w:val="left"/>
      </w:pPr>
      <w:r>
        <w:t>201</w:t>
      </w:r>
      <w:r>
        <w:rPr>
          <w:rFonts w:hint="eastAsia"/>
          <w:lang w:val="en-US" w:eastAsia="zh-CN"/>
        </w:rPr>
        <w:t>9</w:t>
      </w:r>
      <w:r>
        <w:rPr>
          <w:rFonts w:hint="eastAsia"/>
        </w:rPr>
        <w:t>年，面对复杂的宏观经济形势和需求下行压力，唐山弘也水泥有限公司对内不断夯实基础管理；对外强化市场供求趋势研判，巩固和提升市场份额，在行业整体盈利水平下滑的情况下，努力实现资产增值，保持了良好的经营势头。与此同时，公司积极响应国家节能减排政策，熟料生产线配备先进新型干法技术及余热发电设备。在此基础上，公司持续优化和提升节能环保水平，实现转型升级。坚持提升节能环保、安全生产、社区共建、及员工关爱等社会责任工作，提升企业品牌价值，推动水泥行业的绿色健康可持续发展。</w:t>
      </w:r>
    </w:p>
    <w:p>
      <w:pPr>
        <w:widowControl/>
        <w:spacing w:line="240" w:lineRule="auto"/>
        <w:ind w:firstLine="560" w:firstLineChars="200"/>
        <w:jc w:val="left"/>
      </w:pPr>
      <w:r>
        <w:rPr>
          <w:rFonts w:hint="eastAsia"/>
        </w:rPr>
        <w:t>未来，公司将在推动内部精益管理、降本提效的同时，继续加强产品研发和创新，推动绿色发展，为水泥行业的健康发展做出贡献。</w:t>
      </w:r>
    </w:p>
    <w:p>
      <w:pPr>
        <w:pStyle w:val="2"/>
      </w:pPr>
      <w:bookmarkStart w:id="1" w:name="_Toc5262383"/>
      <w:r>
        <w:rPr>
          <w:rFonts w:hint="eastAsia"/>
        </w:rPr>
        <w:t>公司概况</w:t>
      </w:r>
      <w:bookmarkEnd w:id="1"/>
    </w:p>
    <w:p>
      <w:pPr>
        <w:ind w:firstLine="560" w:firstLineChars="200"/>
        <w:rPr>
          <w:rFonts w:hint="eastAsia"/>
          <w:sz w:val="28"/>
          <w:szCs w:val="28"/>
        </w:rPr>
      </w:pPr>
      <w:r>
        <w:rPr>
          <w:rFonts w:hint="eastAsia"/>
          <w:sz w:val="28"/>
          <w:szCs w:val="28"/>
        </w:rPr>
        <w:t>唐山弘也水泥有限公司</w:t>
      </w:r>
      <w:r>
        <w:rPr>
          <w:rFonts w:hint="eastAsia"/>
          <w:sz w:val="28"/>
          <w:szCs w:val="28"/>
          <w:lang w:val="en-US" w:eastAsia="zh-CN"/>
        </w:rPr>
        <w:t>1993</w:t>
      </w:r>
      <w:r>
        <w:rPr>
          <w:rFonts w:hint="eastAsia"/>
          <w:sz w:val="28"/>
          <w:szCs w:val="28"/>
        </w:rPr>
        <w:t>年</w:t>
      </w:r>
      <w:r>
        <w:rPr>
          <w:rFonts w:hint="eastAsia"/>
          <w:sz w:val="28"/>
          <w:szCs w:val="28"/>
          <w:lang w:eastAsia="zh-CN"/>
        </w:rPr>
        <w:t>建厂，于</w:t>
      </w:r>
      <w:r>
        <w:rPr>
          <w:rFonts w:hint="eastAsia"/>
          <w:sz w:val="28"/>
          <w:szCs w:val="28"/>
          <w:lang w:val="en-US" w:eastAsia="zh-CN"/>
        </w:rPr>
        <w:t>2001年</w:t>
      </w:r>
      <w:r>
        <w:rPr>
          <w:rFonts w:hint="eastAsia"/>
          <w:sz w:val="28"/>
          <w:szCs w:val="28"/>
        </w:rPr>
        <w:t>经资产重组成立的股份制民营企业。占地面积26万平方米，建筑面积11万平方米。处于京津唐三地的交界地带，紧邻102国道，交通便利。</w:t>
      </w:r>
    </w:p>
    <w:p>
      <w:pPr>
        <w:ind w:firstLine="560" w:firstLineChars="200"/>
        <w:rPr>
          <w:rFonts w:hint="eastAsia"/>
          <w:sz w:val="28"/>
          <w:szCs w:val="28"/>
        </w:rPr>
      </w:pPr>
      <w:r>
        <w:rPr>
          <w:rFonts w:hint="eastAsia"/>
          <w:sz w:val="28"/>
          <w:szCs w:val="28"/>
        </w:rPr>
        <w:t>公司年生产水泥200万吨，熟料130万吨，主要产品有：</w:t>
      </w:r>
      <w:r>
        <w:rPr>
          <w:sz w:val="28"/>
          <w:szCs w:val="28"/>
        </w:rPr>
        <w:t>P.S</w:t>
      </w:r>
      <w:r>
        <w:rPr>
          <w:rFonts w:hint="eastAsia"/>
          <w:sz w:val="28"/>
          <w:szCs w:val="28"/>
        </w:rPr>
        <w:t>.A</w:t>
      </w:r>
      <w:r>
        <w:rPr>
          <w:sz w:val="28"/>
          <w:szCs w:val="28"/>
        </w:rPr>
        <w:t>32.5</w:t>
      </w:r>
      <w:r>
        <w:rPr>
          <w:rFonts w:hint="eastAsia"/>
          <w:sz w:val="28"/>
          <w:szCs w:val="28"/>
        </w:rPr>
        <w:t>、</w:t>
      </w:r>
      <w:r>
        <w:rPr>
          <w:sz w:val="28"/>
          <w:szCs w:val="28"/>
        </w:rPr>
        <w:t>P.O42.5</w:t>
      </w:r>
      <w:r>
        <w:rPr>
          <w:rFonts w:hint="eastAsia"/>
          <w:sz w:val="28"/>
          <w:szCs w:val="28"/>
        </w:rPr>
        <w:t>、P.O42.5R、</w:t>
      </w:r>
      <w:r>
        <w:rPr>
          <w:sz w:val="28"/>
          <w:szCs w:val="28"/>
        </w:rPr>
        <w:t>P.O</w:t>
      </w:r>
      <w:r>
        <w:rPr>
          <w:rFonts w:hint="eastAsia"/>
          <w:sz w:val="28"/>
          <w:szCs w:val="28"/>
        </w:rPr>
        <w:t>5</w:t>
      </w:r>
      <w:r>
        <w:rPr>
          <w:sz w:val="28"/>
          <w:szCs w:val="28"/>
        </w:rPr>
        <w:t>2.5</w:t>
      </w:r>
      <w:r>
        <w:rPr>
          <w:rFonts w:hint="eastAsia"/>
          <w:sz w:val="28"/>
          <w:szCs w:val="28"/>
        </w:rPr>
        <w:t>、P.O52.5R</w:t>
      </w:r>
      <w:r>
        <w:rPr>
          <w:rFonts w:hint="eastAsia"/>
          <w:sz w:val="28"/>
          <w:szCs w:val="28"/>
          <w:lang w:eastAsia="zh-CN"/>
        </w:rPr>
        <w:t>等强度等级的</w:t>
      </w:r>
      <w:r>
        <w:rPr>
          <w:rFonts w:hint="eastAsia"/>
          <w:sz w:val="28"/>
          <w:szCs w:val="28"/>
        </w:rPr>
        <w:t>硅酸盐水泥，</w:t>
      </w:r>
      <w:r>
        <w:rPr>
          <w:rFonts w:hint="eastAsia"/>
          <w:sz w:val="28"/>
          <w:szCs w:val="28"/>
          <w:lang w:eastAsia="zh-CN"/>
        </w:rPr>
        <w:t>通用</w:t>
      </w:r>
      <w:r>
        <w:rPr>
          <w:rFonts w:hint="eastAsia"/>
          <w:sz w:val="28"/>
          <w:szCs w:val="28"/>
        </w:rPr>
        <w:t>硅酸盐水泥</w:t>
      </w:r>
      <w:r>
        <w:rPr>
          <w:rFonts w:hint="eastAsia"/>
          <w:sz w:val="28"/>
          <w:szCs w:val="28"/>
          <w:lang w:eastAsia="zh-CN"/>
        </w:rPr>
        <w:t>，</w:t>
      </w:r>
      <w:r>
        <w:rPr>
          <w:rFonts w:hint="eastAsia"/>
          <w:sz w:val="28"/>
          <w:szCs w:val="28"/>
        </w:rPr>
        <w:t>道路硅酸盐水泥，低碱</w:t>
      </w:r>
      <w:r>
        <w:rPr>
          <w:rFonts w:hint="eastAsia"/>
          <w:sz w:val="28"/>
          <w:szCs w:val="28"/>
          <w:lang w:eastAsia="zh-CN"/>
        </w:rPr>
        <w:t>水泥</w:t>
      </w:r>
      <w:r>
        <w:rPr>
          <w:rFonts w:hint="eastAsia"/>
          <w:sz w:val="28"/>
          <w:szCs w:val="28"/>
        </w:rPr>
        <w:t>熟料，低碱水泥及超细矿</w:t>
      </w:r>
      <w:r>
        <w:rPr>
          <w:rFonts w:hint="eastAsia"/>
          <w:sz w:val="28"/>
          <w:szCs w:val="28"/>
          <w:lang w:eastAsia="zh-CN"/>
        </w:rPr>
        <w:t>渣</w:t>
      </w:r>
      <w:r>
        <w:rPr>
          <w:rFonts w:hint="eastAsia"/>
          <w:sz w:val="28"/>
          <w:szCs w:val="28"/>
        </w:rPr>
        <w:t>粉。并通过了</w:t>
      </w:r>
      <w:r>
        <w:rPr>
          <w:sz w:val="28"/>
          <w:szCs w:val="28"/>
        </w:rPr>
        <w:t>ISO</w:t>
      </w:r>
      <w:r>
        <w:rPr>
          <w:rFonts w:hint="eastAsia"/>
          <w:sz w:val="28"/>
          <w:szCs w:val="28"/>
        </w:rPr>
        <w:t>9001产品质量和质量管理体系认证</w:t>
      </w:r>
      <w:r>
        <w:rPr>
          <w:rFonts w:hint="eastAsia"/>
          <w:sz w:val="28"/>
          <w:szCs w:val="28"/>
          <w:lang w:eastAsia="zh-CN"/>
        </w:rPr>
        <w:t>、</w:t>
      </w:r>
      <w:r>
        <w:rPr>
          <w:sz w:val="28"/>
          <w:szCs w:val="28"/>
        </w:rPr>
        <w:t>ISO</w:t>
      </w:r>
      <w:r>
        <w:rPr>
          <w:rFonts w:hint="eastAsia"/>
          <w:sz w:val="28"/>
          <w:szCs w:val="28"/>
          <w:lang w:val="en-US" w:eastAsia="zh-CN"/>
        </w:rPr>
        <w:t>14001环境管理体系认证、OHSAS18001职业健康安全管理体系认证及GB/T23331能源管理体系认证。</w:t>
      </w:r>
    </w:p>
    <w:p>
      <w:pPr>
        <w:ind w:firstLine="560" w:firstLineChars="200"/>
        <w:rPr>
          <w:rFonts w:hint="eastAsia"/>
          <w:sz w:val="28"/>
          <w:szCs w:val="28"/>
        </w:rPr>
      </w:pPr>
      <w:r>
        <w:rPr>
          <w:rFonts w:hint="eastAsia"/>
          <w:sz w:val="28"/>
          <w:szCs w:val="28"/>
        </w:rPr>
        <w:t>公司产品热销京、津、唐、承等广大地区，</w:t>
      </w:r>
      <w:r>
        <w:rPr>
          <w:rFonts w:hint="eastAsia"/>
          <w:sz w:val="28"/>
          <w:szCs w:val="28"/>
          <w:lang w:eastAsia="zh-CN"/>
        </w:rPr>
        <w:t>公司具有现代化的散装、包装设施及运输条件</w:t>
      </w:r>
      <w:r>
        <w:rPr>
          <w:rFonts w:hint="eastAsia"/>
          <w:sz w:val="28"/>
          <w:szCs w:val="28"/>
        </w:rPr>
        <w:t>深得客户好评。公司先后被评为“唐山市3.15消费者信得过产品”，“河北省中小企业质量信得过产品”。近年来，公司多次被评为 “全省建材业五十强企业”，“</w:t>
      </w:r>
      <w:r>
        <w:rPr>
          <w:rFonts w:hint="eastAsia"/>
          <w:sz w:val="28"/>
          <w:szCs w:val="28"/>
          <w:lang w:eastAsia="zh-CN"/>
        </w:rPr>
        <w:t>中国</w:t>
      </w:r>
      <w:r>
        <w:rPr>
          <w:rFonts w:hint="eastAsia"/>
          <w:sz w:val="28"/>
          <w:szCs w:val="28"/>
        </w:rPr>
        <w:t>建材</w:t>
      </w:r>
      <w:r>
        <w:rPr>
          <w:rFonts w:hint="eastAsia"/>
          <w:sz w:val="28"/>
          <w:szCs w:val="28"/>
          <w:lang w:eastAsia="zh-CN"/>
        </w:rPr>
        <w:t>企</w:t>
      </w:r>
      <w:r>
        <w:rPr>
          <w:rFonts w:hint="eastAsia"/>
          <w:sz w:val="28"/>
          <w:szCs w:val="28"/>
        </w:rPr>
        <w:t>业五</w:t>
      </w:r>
      <w:r>
        <w:rPr>
          <w:rFonts w:hint="eastAsia"/>
          <w:sz w:val="28"/>
          <w:szCs w:val="28"/>
          <w:lang w:eastAsia="zh-CN"/>
        </w:rPr>
        <w:t>百</w:t>
      </w:r>
      <w:r>
        <w:rPr>
          <w:rFonts w:hint="eastAsia"/>
          <w:sz w:val="28"/>
          <w:szCs w:val="28"/>
        </w:rPr>
        <w:t>强</w:t>
      </w:r>
      <w:r>
        <w:rPr>
          <w:rFonts w:hint="eastAsia"/>
          <w:sz w:val="28"/>
          <w:szCs w:val="28"/>
          <w:lang w:eastAsia="zh-CN"/>
        </w:rPr>
        <w:t>企业</w:t>
      </w:r>
      <w:r>
        <w:rPr>
          <w:rFonts w:hint="eastAsia"/>
          <w:sz w:val="28"/>
          <w:szCs w:val="28"/>
        </w:rPr>
        <w:t>”</w:t>
      </w:r>
      <w:r>
        <w:rPr>
          <w:rFonts w:hint="eastAsia"/>
          <w:sz w:val="28"/>
          <w:szCs w:val="28"/>
          <w:lang w:eastAsia="zh-CN"/>
        </w:rPr>
        <w:t>，</w:t>
      </w:r>
      <w:r>
        <w:rPr>
          <w:rFonts w:hint="eastAsia"/>
          <w:sz w:val="28"/>
          <w:szCs w:val="28"/>
        </w:rPr>
        <w:t>“重合同、守信用、保质量三优示范单位”等</w:t>
      </w:r>
      <w:r>
        <w:rPr>
          <w:rFonts w:hint="eastAsia"/>
          <w:sz w:val="28"/>
          <w:szCs w:val="28"/>
          <w:lang w:eastAsia="zh-CN"/>
        </w:rPr>
        <w:t>称号</w:t>
      </w:r>
      <w:r>
        <w:rPr>
          <w:rFonts w:hint="eastAsia"/>
          <w:sz w:val="28"/>
          <w:szCs w:val="28"/>
        </w:rPr>
        <w:t>，并被银行系统连续</w:t>
      </w:r>
      <w:r>
        <w:rPr>
          <w:rFonts w:hint="eastAsia"/>
          <w:sz w:val="28"/>
          <w:szCs w:val="28"/>
          <w:lang w:val="en-US" w:eastAsia="zh-CN"/>
        </w:rPr>
        <w:t>12</w:t>
      </w:r>
      <w:r>
        <w:rPr>
          <w:rFonts w:hint="eastAsia"/>
          <w:sz w:val="28"/>
          <w:szCs w:val="28"/>
        </w:rPr>
        <w:t>年命名为“最守信用企业”。“弘也”商标也跻身“河北省著名商标”行列。</w:t>
      </w:r>
    </w:p>
    <w:p>
      <w:pPr>
        <w:ind w:firstLine="560" w:firstLineChars="200"/>
        <w:rPr>
          <w:rFonts w:hint="eastAsia"/>
          <w:sz w:val="28"/>
          <w:szCs w:val="28"/>
        </w:rPr>
      </w:pPr>
      <w:r>
        <w:rPr>
          <w:rFonts w:hint="eastAsia"/>
          <w:sz w:val="28"/>
          <w:szCs w:val="28"/>
        </w:rPr>
        <w:t>唐山弘也水泥有限公司始终以“诚信、务实、高效、创新”的企业精神和“对内严格管理，对外诚信经营，质量是企业生命”的经营理念，为客户提供优质的产品和服务。同时，企业注重节能减排，坚持“能源有限、节约无限”的环保理念，走创经济效益更要社会效益的可持续发展之路。</w:t>
      </w:r>
    </w:p>
    <w:p>
      <w:pPr>
        <w:widowControl/>
        <w:spacing w:line="240" w:lineRule="auto"/>
        <w:ind w:firstLine="560" w:firstLineChars="200"/>
        <w:jc w:val="left"/>
      </w:pPr>
    </w:p>
    <w:p>
      <w:pPr>
        <w:pStyle w:val="2"/>
      </w:pPr>
      <w:bookmarkStart w:id="2" w:name="_Toc5262384"/>
      <w:r>
        <w:rPr>
          <w:rFonts w:hint="eastAsia"/>
        </w:rPr>
        <w:t>关键绩效</w:t>
      </w:r>
      <w:bookmarkEnd w:id="2"/>
    </w:p>
    <w:tbl>
      <w:tblPr>
        <w:tblStyle w:val="24"/>
        <w:tblW w:w="9570" w:type="dxa"/>
        <w:tblInd w:w="0" w:type="dxa"/>
        <w:tblLayout w:type="fixed"/>
        <w:tblCellMar>
          <w:top w:w="0" w:type="dxa"/>
          <w:left w:w="108" w:type="dxa"/>
          <w:bottom w:w="0" w:type="dxa"/>
          <w:right w:w="108" w:type="dxa"/>
        </w:tblCellMar>
      </w:tblPr>
      <w:tblGrid>
        <w:gridCol w:w="1278"/>
        <w:gridCol w:w="3914"/>
        <w:gridCol w:w="1566"/>
        <w:gridCol w:w="1407"/>
        <w:gridCol w:w="1405"/>
      </w:tblGrid>
      <w:tr>
        <w:tblPrEx>
          <w:tblCellMar>
            <w:top w:w="0" w:type="dxa"/>
            <w:left w:w="108" w:type="dxa"/>
            <w:bottom w:w="0" w:type="dxa"/>
            <w:right w:w="108" w:type="dxa"/>
          </w:tblCellMar>
        </w:tblPrEx>
        <w:trPr>
          <w:trHeight w:val="498" w:hRule="atLeast"/>
        </w:trPr>
        <w:tc>
          <w:tcPr>
            <w:tcW w:w="1278" w:type="dxa"/>
            <w:tcBorders>
              <w:top w:val="single" w:color="auto" w:sz="4" w:space="0"/>
              <w:left w:val="single" w:color="auto" w:sz="4" w:space="0"/>
              <w:bottom w:val="single" w:color="auto" w:sz="4" w:space="0"/>
              <w:right w:val="single" w:color="auto" w:sz="4" w:space="0"/>
            </w:tcBorders>
            <w:noWrap/>
            <w:vAlign w:val="center"/>
          </w:tcPr>
          <w:p>
            <w:pPr>
              <w:pStyle w:val="51"/>
              <w:jc w:val="center"/>
              <w:rPr>
                <w:b/>
              </w:rPr>
            </w:pPr>
            <w:r>
              <w:rPr>
                <w:rFonts w:hint="eastAsia"/>
                <w:b/>
              </w:rPr>
              <w:t>序号</w:t>
            </w:r>
          </w:p>
        </w:tc>
        <w:tc>
          <w:tcPr>
            <w:tcW w:w="3914" w:type="dxa"/>
            <w:tcBorders>
              <w:top w:val="single" w:color="auto" w:sz="4" w:space="0"/>
              <w:left w:val="nil"/>
              <w:bottom w:val="single" w:color="auto" w:sz="4" w:space="0"/>
              <w:right w:val="single" w:color="auto" w:sz="4" w:space="0"/>
            </w:tcBorders>
            <w:noWrap/>
            <w:vAlign w:val="center"/>
          </w:tcPr>
          <w:p>
            <w:pPr>
              <w:pStyle w:val="51"/>
              <w:jc w:val="center"/>
              <w:rPr>
                <w:b/>
              </w:rPr>
            </w:pPr>
            <w:r>
              <w:rPr>
                <w:rFonts w:hint="eastAsia"/>
                <w:b/>
              </w:rPr>
              <w:t>统计指标</w:t>
            </w:r>
          </w:p>
        </w:tc>
        <w:tc>
          <w:tcPr>
            <w:tcW w:w="1566" w:type="dxa"/>
            <w:tcBorders>
              <w:top w:val="single" w:color="auto" w:sz="4" w:space="0"/>
              <w:left w:val="nil"/>
              <w:bottom w:val="single" w:color="auto" w:sz="4" w:space="0"/>
              <w:right w:val="single" w:color="auto" w:sz="4" w:space="0"/>
            </w:tcBorders>
            <w:noWrap/>
            <w:vAlign w:val="center"/>
          </w:tcPr>
          <w:p>
            <w:pPr>
              <w:pStyle w:val="51"/>
              <w:jc w:val="center"/>
              <w:rPr>
                <w:rFonts w:hint="eastAsia" w:eastAsia="仿宋"/>
                <w:b/>
                <w:lang w:val="en-US" w:eastAsia="zh-CN"/>
              </w:rPr>
            </w:pPr>
            <w:r>
              <w:rPr>
                <w:b/>
              </w:rPr>
              <w:t>201</w:t>
            </w:r>
            <w:r>
              <w:rPr>
                <w:rFonts w:hint="eastAsia"/>
                <w:b/>
                <w:lang w:val="en-US" w:eastAsia="zh-CN"/>
              </w:rPr>
              <w:t>9</w:t>
            </w:r>
          </w:p>
        </w:tc>
        <w:tc>
          <w:tcPr>
            <w:tcW w:w="1407" w:type="dxa"/>
            <w:tcBorders>
              <w:top w:val="single" w:color="auto" w:sz="4" w:space="0"/>
              <w:left w:val="nil"/>
              <w:bottom w:val="single" w:color="auto" w:sz="4" w:space="0"/>
              <w:right w:val="single" w:color="auto" w:sz="4" w:space="0"/>
            </w:tcBorders>
            <w:noWrap/>
            <w:vAlign w:val="center"/>
          </w:tcPr>
          <w:p>
            <w:pPr>
              <w:pStyle w:val="51"/>
              <w:jc w:val="center"/>
              <w:rPr>
                <w:rFonts w:hint="eastAsia" w:eastAsia="仿宋"/>
                <w:b/>
                <w:lang w:val="en-US" w:eastAsia="zh-CN"/>
              </w:rPr>
            </w:pPr>
            <w:r>
              <w:rPr>
                <w:b/>
              </w:rPr>
              <w:t>201</w:t>
            </w:r>
            <w:r>
              <w:rPr>
                <w:rFonts w:hint="eastAsia"/>
                <w:b/>
                <w:lang w:val="en-US" w:eastAsia="zh-CN"/>
              </w:rPr>
              <w:t>8</w:t>
            </w:r>
          </w:p>
        </w:tc>
        <w:tc>
          <w:tcPr>
            <w:tcW w:w="1405" w:type="dxa"/>
            <w:tcBorders>
              <w:top w:val="single" w:color="auto" w:sz="4" w:space="0"/>
              <w:left w:val="nil"/>
              <w:bottom w:val="single" w:color="auto" w:sz="4" w:space="0"/>
              <w:right w:val="single" w:color="auto" w:sz="4" w:space="0"/>
            </w:tcBorders>
            <w:noWrap/>
            <w:vAlign w:val="center"/>
          </w:tcPr>
          <w:p>
            <w:pPr>
              <w:pStyle w:val="51"/>
              <w:jc w:val="center"/>
              <w:rPr>
                <w:rFonts w:hint="eastAsia" w:eastAsia="仿宋"/>
                <w:b/>
                <w:lang w:val="en-US" w:eastAsia="zh-CN"/>
              </w:rPr>
            </w:pPr>
            <w:r>
              <w:rPr>
                <w:b/>
              </w:rPr>
              <w:t>201</w:t>
            </w:r>
            <w:r>
              <w:rPr>
                <w:rFonts w:hint="eastAsia"/>
                <w:b/>
                <w:lang w:val="en-US" w:eastAsia="zh-CN"/>
              </w:rPr>
              <w:t>7</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w:t>
            </w:r>
          </w:p>
        </w:tc>
        <w:tc>
          <w:tcPr>
            <w:tcW w:w="3914" w:type="dxa"/>
            <w:tcBorders>
              <w:top w:val="nil"/>
              <w:left w:val="nil"/>
              <w:bottom w:val="single" w:color="auto" w:sz="4" w:space="0"/>
              <w:right w:val="single" w:color="auto" w:sz="4" w:space="0"/>
            </w:tcBorders>
            <w:noWrap/>
            <w:vAlign w:val="center"/>
          </w:tcPr>
          <w:p>
            <w:pPr>
              <w:pStyle w:val="51"/>
            </w:pPr>
            <w:r>
              <w:rPr>
                <w:rFonts w:hint="eastAsia"/>
              </w:rPr>
              <w:t>营业收入（万元）</w:t>
            </w:r>
          </w:p>
        </w:tc>
        <w:tc>
          <w:tcPr>
            <w:tcW w:w="1566" w:type="dxa"/>
            <w:tcBorders>
              <w:top w:val="nil"/>
              <w:left w:val="nil"/>
              <w:bottom w:val="single" w:color="auto" w:sz="4" w:space="0"/>
              <w:right w:val="single" w:color="auto" w:sz="4" w:space="0"/>
            </w:tcBorders>
            <w:noWrap/>
            <w:vAlign w:val="center"/>
          </w:tcPr>
          <w:p>
            <w:pPr>
              <w:pStyle w:val="51"/>
              <w:jc w:val="center"/>
            </w:pPr>
            <w:r>
              <w:rPr>
                <w:rFonts w:hint="eastAsia"/>
                <w:color w:val="000000"/>
                <w:kern w:val="0"/>
                <w:sz w:val="24"/>
                <w:szCs w:val="24"/>
                <w:lang w:val="en-US" w:eastAsia="zh-CN"/>
              </w:rPr>
              <w:t>84382.06</w:t>
            </w:r>
          </w:p>
        </w:tc>
        <w:tc>
          <w:tcPr>
            <w:tcW w:w="1407"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77771.49</w:t>
            </w:r>
          </w:p>
        </w:tc>
        <w:tc>
          <w:tcPr>
            <w:tcW w:w="1405"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67627.38</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2</w:t>
            </w:r>
          </w:p>
        </w:tc>
        <w:tc>
          <w:tcPr>
            <w:tcW w:w="3914" w:type="dxa"/>
            <w:tcBorders>
              <w:top w:val="nil"/>
              <w:left w:val="nil"/>
              <w:bottom w:val="single" w:color="auto" w:sz="4" w:space="0"/>
              <w:right w:val="single" w:color="auto" w:sz="4" w:space="0"/>
            </w:tcBorders>
            <w:noWrap/>
            <w:vAlign w:val="center"/>
          </w:tcPr>
          <w:p>
            <w:pPr>
              <w:pStyle w:val="51"/>
            </w:pPr>
            <w:r>
              <w:rPr>
                <w:rFonts w:hint="eastAsia"/>
              </w:rPr>
              <w:t>利润总额（万元）</w:t>
            </w:r>
          </w:p>
        </w:tc>
        <w:tc>
          <w:tcPr>
            <w:tcW w:w="1566" w:type="dxa"/>
            <w:tcBorders>
              <w:top w:val="nil"/>
              <w:left w:val="nil"/>
              <w:bottom w:val="single" w:color="auto" w:sz="4" w:space="0"/>
              <w:right w:val="single" w:color="auto" w:sz="4" w:space="0"/>
            </w:tcBorders>
            <w:noWrap/>
            <w:vAlign w:val="center"/>
          </w:tcPr>
          <w:p>
            <w:pPr>
              <w:pStyle w:val="51"/>
              <w:jc w:val="center"/>
            </w:pPr>
            <w:r>
              <w:rPr>
                <w:rFonts w:hint="eastAsia"/>
                <w:color w:val="000000"/>
                <w:kern w:val="0"/>
                <w:sz w:val="24"/>
                <w:szCs w:val="24"/>
                <w:lang w:val="en-US" w:eastAsia="zh-CN"/>
              </w:rPr>
              <w:t>8314.03</w:t>
            </w:r>
          </w:p>
        </w:tc>
        <w:tc>
          <w:tcPr>
            <w:tcW w:w="1407" w:type="dxa"/>
            <w:tcBorders>
              <w:top w:val="nil"/>
              <w:left w:val="nil"/>
              <w:bottom w:val="single" w:color="auto" w:sz="4" w:space="0"/>
              <w:right w:val="single" w:color="auto" w:sz="4" w:space="0"/>
            </w:tcBorders>
            <w:noWrap/>
            <w:vAlign w:val="center"/>
          </w:tcPr>
          <w:p>
            <w:pPr>
              <w:pStyle w:val="51"/>
              <w:jc w:val="center"/>
              <w:rPr>
                <w:rFonts w:hint="eastAsia" w:eastAsia="仿宋"/>
                <w:lang w:val="en-US" w:eastAsia="zh-CN"/>
              </w:rPr>
            </w:pPr>
            <w:r>
              <w:rPr>
                <w:rFonts w:hint="eastAsia"/>
                <w:lang w:val="en-US" w:eastAsia="zh-CN"/>
              </w:rPr>
              <w:t>6968.46</w:t>
            </w:r>
          </w:p>
        </w:tc>
        <w:tc>
          <w:tcPr>
            <w:tcW w:w="1405"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6223.34</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3</w:t>
            </w:r>
          </w:p>
        </w:tc>
        <w:tc>
          <w:tcPr>
            <w:tcW w:w="3914" w:type="dxa"/>
            <w:tcBorders>
              <w:top w:val="nil"/>
              <w:left w:val="nil"/>
              <w:bottom w:val="single" w:color="auto" w:sz="4" w:space="0"/>
              <w:right w:val="single" w:color="auto" w:sz="4" w:space="0"/>
            </w:tcBorders>
            <w:noWrap/>
            <w:vAlign w:val="center"/>
          </w:tcPr>
          <w:p>
            <w:pPr>
              <w:pStyle w:val="51"/>
            </w:pPr>
            <w:r>
              <w:rPr>
                <w:rFonts w:hint="eastAsia"/>
              </w:rPr>
              <w:t>员工总数（人）</w:t>
            </w:r>
          </w:p>
        </w:tc>
        <w:tc>
          <w:tcPr>
            <w:tcW w:w="1566" w:type="dxa"/>
            <w:tcBorders>
              <w:top w:val="nil"/>
              <w:left w:val="nil"/>
              <w:bottom w:val="single" w:color="auto" w:sz="4" w:space="0"/>
              <w:right w:val="single" w:color="auto" w:sz="4" w:space="0"/>
            </w:tcBorders>
            <w:noWrap/>
            <w:vAlign w:val="center"/>
          </w:tcPr>
          <w:p>
            <w:pPr>
              <w:pStyle w:val="51"/>
              <w:jc w:val="center"/>
              <w:rPr>
                <w:rFonts w:hint="default"/>
                <w:lang w:val="en-US"/>
              </w:rPr>
            </w:pPr>
            <w:r>
              <w:rPr>
                <w:rFonts w:hint="eastAsia"/>
                <w:lang w:val="en-US" w:eastAsia="zh-CN"/>
              </w:rPr>
              <w:t>165</w:t>
            </w:r>
          </w:p>
        </w:tc>
        <w:tc>
          <w:tcPr>
            <w:tcW w:w="1407"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156</w:t>
            </w:r>
          </w:p>
        </w:tc>
        <w:tc>
          <w:tcPr>
            <w:tcW w:w="1405"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332</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4</w:t>
            </w:r>
          </w:p>
        </w:tc>
        <w:tc>
          <w:tcPr>
            <w:tcW w:w="3914" w:type="dxa"/>
            <w:tcBorders>
              <w:top w:val="nil"/>
              <w:left w:val="nil"/>
              <w:bottom w:val="single" w:color="auto" w:sz="4" w:space="0"/>
              <w:right w:val="single" w:color="auto" w:sz="4" w:space="0"/>
            </w:tcBorders>
            <w:noWrap/>
            <w:vAlign w:val="center"/>
          </w:tcPr>
          <w:p>
            <w:pPr>
              <w:pStyle w:val="51"/>
            </w:pPr>
            <w:r>
              <w:rPr>
                <w:rFonts w:hint="eastAsia"/>
              </w:rPr>
              <w:t>劳动合同签订率（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5</w:t>
            </w:r>
          </w:p>
        </w:tc>
        <w:tc>
          <w:tcPr>
            <w:tcW w:w="3914" w:type="dxa"/>
            <w:tcBorders>
              <w:top w:val="nil"/>
              <w:left w:val="nil"/>
              <w:bottom w:val="single" w:color="auto" w:sz="4" w:space="0"/>
              <w:right w:val="single" w:color="auto" w:sz="4" w:space="0"/>
            </w:tcBorders>
            <w:noWrap/>
            <w:vAlign w:val="center"/>
          </w:tcPr>
          <w:p>
            <w:pPr>
              <w:pStyle w:val="51"/>
            </w:pPr>
            <w:r>
              <w:rPr>
                <w:rFonts w:hint="eastAsia"/>
              </w:rPr>
              <w:t>社会保险覆盖率（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6</w:t>
            </w:r>
          </w:p>
        </w:tc>
        <w:tc>
          <w:tcPr>
            <w:tcW w:w="3914" w:type="dxa"/>
            <w:tcBorders>
              <w:top w:val="nil"/>
              <w:left w:val="nil"/>
              <w:bottom w:val="single" w:color="auto" w:sz="4" w:space="0"/>
              <w:right w:val="single" w:color="auto" w:sz="4" w:space="0"/>
            </w:tcBorders>
            <w:noWrap/>
            <w:vAlign w:val="center"/>
          </w:tcPr>
          <w:p>
            <w:pPr>
              <w:pStyle w:val="51"/>
            </w:pPr>
            <w:r>
              <w:rPr>
                <w:rFonts w:hint="eastAsia"/>
              </w:rPr>
              <w:t>体检覆盖率（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7</w:t>
            </w:r>
          </w:p>
        </w:tc>
        <w:tc>
          <w:tcPr>
            <w:tcW w:w="3914" w:type="dxa"/>
            <w:tcBorders>
              <w:top w:val="nil"/>
              <w:left w:val="nil"/>
              <w:bottom w:val="single" w:color="auto" w:sz="4" w:space="0"/>
              <w:right w:val="single" w:color="auto" w:sz="4" w:space="0"/>
            </w:tcBorders>
            <w:noWrap/>
            <w:vAlign w:val="center"/>
          </w:tcPr>
          <w:p>
            <w:pPr>
              <w:pStyle w:val="51"/>
            </w:pPr>
            <w:r>
              <w:rPr>
                <w:rFonts w:hint="eastAsia"/>
              </w:rPr>
              <w:t>健康体检人数（人）</w:t>
            </w:r>
          </w:p>
        </w:tc>
        <w:tc>
          <w:tcPr>
            <w:tcW w:w="1566"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138</w:t>
            </w:r>
          </w:p>
        </w:tc>
        <w:tc>
          <w:tcPr>
            <w:tcW w:w="1407"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156</w:t>
            </w:r>
          </w:p>
        </w:tc>
        <w:tc>
          <w:tcPr>
            <w:tcW w:w="1405"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332</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8</w:t>
            </w:r>
          </w:p>
        </w:tc>
        <w:tc>
          <w:tcPr>
            <w:tcW w:w="3914" w:type="dxa"/>
            <w:tcBorders>
              <w:top w:val="nil"/>
              <w:left w:val="nil"/>
              <w:bottom w:val="single" w:color="auto" w:sz="4" w:space="0"/>
              <w:right w:val="single" w:color="auto" w:sz="4" w:space="0"/>
            </w:tcBorders>
            <w:noWrap/>
            <w:vAlign w:val="center"/>
          </w:tcPr>
          <w:p>
            <w:pPr>
              <w:pStyle w:val="51"/>
            </w:pPr>
            <w:r>
              <w:rPr>
                <w:rFonts w:hint="eastAsia"/>
              </w:rPr>
              <w:t>职业病发生次数（人）</w:t>
            </w:r>
          </w:p>
        </w:tc>
        <w:tc>
          <w:tcPr>
            <w:tcW w:w="1566" w:type="dxa"/>
            <w:tcBorders>
              <w:top w:val="nil"/>
              <w:left w:val="nil"/>
              <w:bottom w:val="single" w:color="auto" w:sz="4" w:space="0"/>
              <w:right w:val="single" w:color="auto" w:sz="4" w:space="0"/>
            </w:tcBorders>
            <w:noWrap/>
            <w:vAlign w:val="center"/>
          </w:tcPr>
          <w:p>
            <w:pPr>
              <w:pStyle w:val="51"/>
              <w:jc w:val="center"/>
            </w:pPr>
            <w:r>
              <w:t>0</w:t>
            </w:r>
          </w:p>
        </w:tc>
        <w:tc>
          <w:tcPr>
            <w:tcW w:w="1407" w:type="dxa"/>
            <w:tcBorders>
              <w:top w:val="nil"/>
              <w:left w:val="nil"/>
              <w:bottom w:val="single" w:color="auto" w:sz="4" w:space="0"/>
              <w:right w:val="single" w:color="auto" w:sz="4" w:space="0"/>
            </w:tcBorders>
            <w:noWrap/>
            <w:vAlign w:val="center"/>
          </w:tcPr>
          <w:p>
            <w:pPr>
              <w:pStyle w:val="51"/>
              <w:jc w:val="center"/>
            </w:pPr>
            <w:r>
              <w:t>0</w:t>
            </w:r>
          </w:p>
        </w:tc>
        <w:tc>
          <w:tcPr>
            <w:tcW w:w="1405" w:type="dxa"/>
            <w:tcBorders>
              <w:top w:val="nil"/>
              <w:left w:val="nil"/>
              <w:bottom w:val="single" w:color="auto" w:sz="4" w:space="0"/>
              <w:right w:val="single" w:color="auto" w:sz="4" w:space="0"/>
            </w:tcBorders>
            <w:noWrap/>
            <w:vAlign w:val="center"/>
          </w:tcPr>
          <w:p>
            <w:pPr>
              <w:pStyle w:val="51"/>
              <w:jc w:val="center"/>
            </w:pPr>
            <w:r>
              <w:t>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9</w:t>
            </w:r>
          </w:p>
        </w:tc>
        <w:tc>
          <w:tcPr>
            <w:tcW w:w="3914" w:type="dxa"/>
            <w:tcBorders>
              <w:top w:val="nil"/>
              <w:left w:val="nil"/>
              <w:bottom w:val="single" w:color="auto" w:sz="4" w:space="0"/>
              <w:right w:val="single" w:color="auto" w:sz="4" w:space="0"/>
            </w:tcBorders>
            <w:noWrap/>
            <w:vAlign w:val="center"/>
          </w:tcPr>
          <w:p>
            <w:pPr>
              <w:pStyle w:val="51"/>
            </w:pPr>
            <w:r>
              <w:rPr>
                <w:rFonts w:hint="eastAsia"/>
              </w:rPr>
              <w:t>残疾人雇佣人数（人）</w:t>
            </w:r>
          </w:p>
        </w:tc>
        <w:tc>
          <w:tcPr>
            <w:tcW w:w="1566" w:type="dxa"/>
            <w:tcBorders>
              <w:top w:val="nil"/>
              <w:left w:val="nil"/>
              <w:bottom w:val="single" w:color="auto" w:sz="4" w:space="0"/>
              <w:right w:val="single" w:color="auto" w:sz="4" w:space="0"/>
            </w:tcBorders>
            <w:noWrap/>
            <w:vAlign w:val="center"/>
          </w:tcPr>
          <w:p>
            <w:pPr>
              <w:pStyle w:val="51"/>
              <w:jc w:val="center"/>
              <w:rPr>
                <w:rFonts w:hint="eastAsia" w:eastAsia="仿宋"/>
                <w:lang w:eastAsia="zh-CN"/>
              </w:rPr>
            </w:pPr>
            <w:r>
              <w:rPr>
                <w:rFonts w:hint="eastAsia"/>
                <w:lang w:val="en-US" w:eastAsia="zh-CN"/>
              </w:rPr>
              <w:t>0</w:t>
            </w:r>
          </w:p>
        </w:tc>
        <w:tc>
          <w:tcPr>
            <w:tcW w:w="1407" w:type="dxa"/>
            <w:tcBorders>
              <w:top w:val="nil"/>
              <w:left w:val="nil"/>
              <w:bottom w:val="single" w:color="auto" w:sz="4" w:space="0"/>
              <w:right w:val="single" w:color="auto" w:sz="4" w:space="0"/>
            </w:tcBorders>
            <w:noWrap/>
            <w:vAlign w:val="center"/>
          </w:tcPr>
          <w:p>
            <w:pPr>
              <w:pStyle w:val="51"/>
              <w:jc w:val="center"/>
              <w:rPr>
                <w:rFonts w:hint="eastAsia" w:eastAsia="仿宋"/>
                <w:lang w:eastAsia="zh-CN"/>
              </w:rPr>
            </w:pPr>
            <w:r>
              <w:rPr>
                <w:rFonts w:hint="eastAsia"/>
                <w:lang w:val="en-US" w:eastAsia="zh-CN"/>
              </w:rPr>
              <w:t>0</w:t>
            </w:r>
          </w:p>
        </w:tc>
        <w:tc>
          <w:tcPr>
            <w:tcW w:w="1405" w:type="dxa"/>
            <w:tcBorders>
              <w:top w:val="nil"/>
              <w:left w:val="nil"/>
              <w:bottom w:val="single" w:color="auto" w:sz="4" w:space="0"/>
              <w:right w:val="single" w:color="auto" w:sz="4" w:space="0"/>
            </w:tcBorders>
            <w:noWrap/>
            <w:vAlign w:val="center"/>
          </w:tcPr>
          <w:p>
            <w:pPr>
              <w:pStyle w:val="51"/>
              <w:jc w:val="center"/>
              <w:rPr>
                <w:rFonts w:hint="eastAsia" w:eastAsia="仿宋"/>
                <w:lang w:eastAsia="zh-CN"/>
              </w:rPr>
            </w:pPr>
            <w:r>
              <w:rPr>
                <w:rFonts w:hint="eastAsia"/>
                <w:lang w:val="en-US" w:eastAsia="zh-CN"/>
              </w:rPr>
              <w:t>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10</w:t>
            </w:r>
          </w:p>
        </w:tc>
        <w:tc>
          <w:tcPr>
            <w:tcW w:w="3914" w:type="dxa"/>
            <w:tcBorders>
              <w:top w:val="nil"/>
              <w:left w:val="nil"/>
              <w:bottom w:val="single" w:color="auto" w:sz="4" w:space="0"/>
              <w:right w:val="single" w:color="auto" w:sz="4" w:space="0"/>
            </w:tcBorders>
            <w:noWrap/>
            <w:vAlign w:val="center"/>
          </w:tcPr>
          <w:p>
            <w:pPr>
              <w:pStyle w:val="51"/>
            </w:pPr>
            <w:r>
              <w:rPr>
                <w:rFonts w:hint="eastAsia"/>
              </w:rPr>
              <w:t>员工培训覆盖率（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11</w:t>
            </w:r>
          </w:p>
        </w:tc>
        <w:tc>
          <w:tcPr>
            <w:tcW w:w="3914" w:type="dxa"/>
            <w:tcBorders>
              <w:top w:val="nil"/>
              <w:left w:val="nil"/>
              <w:bottom w:val="single" w:color="auto" w:sz="4" w:space="0"/>
              <w:right w:val="single" w:color="auto" w:sz="4" w:space="0"/>
            </w:tcBorders>
            <w:noWrap/>
            <w:vAlign w:val="center"/>
          </w:tcPr>
          <w:p>
            <w:pPr>
              <w:pStyle w:val="51"/>
            </w:pPr>
            <w:r>
              <w:rPr>
                <w:rFonts w:hint="eastAsia"/>
              </w:rPr>
              <w:t>员工满意度（</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93</w:t>
            </w:r>
          </w:p>
        </w:tc>
        <w:tc>
          <w:tcPr>
            <w:tcW w:w="1407"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89</w:t>
            </w:r>
          </w:p>
        </w:tc>
        <w:tc>
          <w:tcPr>
            <w:tcW w:w="1405" w:type="dxa"/>
            <w:tcBorders>
              <w:top w:val="nil"/>
              <w:left w:val="nil"/>
              <w:bottom w:val="single" w:color="auto" w:sz="4" w:space="0"/>
              <w:right w:val="single" w:color="auto" w:sz="4" w:space="0"/>
            </w:tcBorders>
            <w:noWrap/>
            <w:vAlign w:val="center"/>
          </w:tcPr>
          <w:p>
            <w:pPr>
              <w:pStyle w:val="51"/>
              <w:jc w:val="center"/>
              <w:rPr>
                <w:rFonts w:hint="default" w:eastAsia="仿宋"/>
                <w:lang w:val="en-US" w:eastAsia="zh-CN"/>
              </w:rPr>
            </w:pPr>
            <w:r>
              <w:rPr>
                <w:rFonts w:hint="eastAsia"/>
                <w:lang w:val="en-US" w:eastAsia="zh-CN"/>
              </w:rPr>
              <w:t>85</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12</w:t>
            </w:r>
          </w:p>
        </w:tc>
        <w:tc>
          <w:tcPr>
            <w:tcW w:w="3914" w:type="dxa"/>
            <w:tcBorders>
              <w:top w:val="nil"/>
              <w:left w:val="nil"/>
              <w:bottom w:val="single" w:color="auto" w:sz="4" w:space="0"/>
              <w:right w:val="single" w:color="auto" w:sz="4" w:space="0"/>
            </w:tcBorders>
            <w:noWrap/>
            <w:vAlign w:val="center"/>
          </w:tcPr>
          <w:p>
            <w:pPr>
              <w:pStyle w:val="51"/>
            </w:pPr>
            <w:r>
              <w:rPr>
                <w:rFonts w:hint="eastAsia"/>
              </w:rPr>
              <w:t>员工流失率（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2.4</w:t>
            </w:r>
          </w:p>
        </w:tc>
        <w:tc>
          <w:tcPr>
            <w:tcW w:w="1407" w:type="dxa"/>
            <w:tcBorders>
              <w:top w:val="nil"/>
              <w:left w:val="nil"/>
              <w:bottom w:val="single" w:color="auto" w:sz="4" w:space="0"/>
              <w:right w:val="single" w:color="auto" w:sz="4" w:space="0"/>
            </w:tcBorders>
            <w:noWrap/>
            <w:vAlign w:val="center"/>
          </w:tcPr>
          <w:p>
            <w:pPr>
              <w:pStyle w:val="51"/>
              <w:jc w:val="center"/>
            </w:pPr>
            <w:r>
              <w:t>2.5</w:t>
            </w:r>
          </w:p>
        </w:tc>
        <w:tc>
          <w:tcPr>
            <w:tcW w:w="1405" w:type="dxa"/>
            <w:tcBorders>
              <w:top w:val="nil"/>
              <w:left w:val="nil"/>
              <w:bottom w:val="single" w:color="auto" w:sz="4" w:space="0"/>
              <w:right w:val="single" w:color="auto" w:sz="4" w:space="0"/>
            </w:tcBorders>
            <w:noWrap/>
            <w:vAlign w:val="center"/>
          </w:tcPr>
          <w:p>
            <w:pPr>
              <w:pStyle w:val="51"/>
              <w:jc w:val="center"/>
            </w:pPr>
            <w:r>
              <w:t>2.7</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13</w:t>
            </w:r>
          </w:p>
        </w:tc>
        <w:tc>
          <w:tcPr>
            <w:tcW w:w="3914" w:type="dxa"/>
            <w:tcBorders>
              <w:top w:val="nil"/>
              <w:left w:val="nil"/>
              <w:bottom w:val="single" w:color="auto" w:sz="4" w:space="0"/>
              <w:right w:val="single" w:color="auto" w:sz="4" w:space="0"/>
            </w:tcBorders>
            <w:noWrap/>
            <w:vAlign w:val="center"/>
          </w:tcPr>
          <w:p>
            <w:pPr>
              <w:pStyle w:val="51"/>
            </w:pPr>
            <w:r>
              <w:rPr>
                <w:rFonts w:hint="eastAsia"/>
              </w:rPr>
              <w:t>客户满意度（</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14</w:t>
            </w:r>
          </w:p>
        </w:tc>
        <w:tc>
          <w:tcPr>
            <w:tcW w:w="3914" w:type="dxa"/>
            <w:tcBorders>
              <w:top w:val="nil"/>
              <w:left w:val="nil"/>
              <w:bottom w:val="single" w:color="auto" w:sz="4" w:space="0"/>
              <w:right w:val="single" w:color="auto" w:sz="4" w:space="0"/>
            </w:tcBorders>
            <w:noWrap/>
            <w:vAlign w:val="center"/>
          </w:tcPr>
          <w:p>
            <w:pPr>
              <w:pStyle w:val="51"/>
            </w:pPr>
            <w:r>
              <w:rPr>
                <w:rFonts w:hint="eastAsia"/>
              </w:rPr>
              <w:t>客户投诉处理率（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15</w:t>
            </w:r>
          </w:p>
        </w:tc>
        <w:tc>
          <w:tcPr>
            <w:tcW w:w="3914" w:type="dxa"/>
            <w:tcBorders>
              <w:top w:val="nil"/>
              <w:left w:val="nil"/>
              <w:bottom w:val="single" w:color="auto" w:sz="4" w:space="0"/>
              <w:right w:val="single" w:color="auto" w:sz="4" w:space="0"/>
            </w:tcBorders>
            <w:noWrap/>
            <w:vAlign w:val="center"/>
          </w:tcPr>
          <w:p>
            <w:pPr>
              <w:pStyle w:val="51"/>
            </w:pPr>
            <w:r>
              <w:rPr>
                <w:rFonts w:hint="eastAsia"/>
              </w:rPr>
              <w:t>产品合格率（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16</w:t>
            </w:r>
          </w:p>
        </w:tc>
        <w:tc>
          <w:tcPr>
            <w:tcW w:w="3914" w:type="dxa"/>
            <w:tcBorders>
              <w:top w:val="nil"/>
              <w:left w:val="nil"/>
              <w:bottom w:val="single" w:color="auto" w:sz="4" w:space="0"/>
              <w:right w:val="single" w:color="auto" w:sz="4" w:space="0"/>
            </w:tcBorders>
            <w:noWrap/>
            <w:vAlign w:val="center"/>
          </w:tcPr>
          <w:p>
            <w:pPr>
              <w:pStyle w:val="51"/>
            </w:pPr>
            <w:r>
              <w:rPr>
                <w:rFonts w:hint="eastAsia"/>
              </w:rPr>
              <w:t>当地员工雇用人（人）</w:t>
            </w:r>
          </w:p>
        </w:tc>
        <w:tc>
          <w:tcPr>
            <w:tcW w:w="1566"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138</w:t>
            </w:r>
          </w:p>
        </w:tc>
        <w:tc>
          <w:tcPr>
            <w:tcW w:w="1407"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156</w:t>
            </w:r>
          </w:p>
        </w:tc>
        <w:tc>
          <w:tcPr>
            <w:tcW w:w="1405" w:type="dxa"/>
            <w:tcBorders>
              <w:top w:val="nil"/>
              <w:left w:val="nil"/>
              <w:bottom w:val="single" w:color="auto" w:sz="4" w:space="0"/>
              <w:right w:val="single" w:color="auto" w:sz="4" w:space="0"/>
            </w:tcBorders>
            <w:noWrap/>
            <w:vAlign w:val="center"/>
          </w:tcPr>
          <w:p>
            <w:pPr>
              <w:pStyle w:val="51"/>
              <w:jc w:val="center"/>
            </w:pPr>
            <w:r>
              <w:rPr>
                <w:rFonts w:hint="eastAsia"/>
                <w:lang w:val="en-US" w:eastAsia="zh-CN"/>
              </w:rPr>
              <w:t>332</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17</w:t>
            </w:r>
          </w:p>
        </w:tc>
        <w:tc>
          <w:tcPr>
            <w:tcW w:w="3914" w:type="dxa"/>
            <w:tcBorders>
              <w:top w:val="nil"/>
              <w:left w:val="nil"/>
              <w:bottom w:val="single" w:color="auto" w:sz="4" w:space="0"/>
              <w:right w:val="single" w:color="auto" w:sz="4" w:space="0"/>
            </w:tcBorders>
            <w:noWrap/>
            <w:vAlign w:val="center"/>
          </w:tcPr>
          <w:p>
            <w:pPr>
              <w:pStyle w:val="51"/>
            </w:pPr>
            <w:r>
              <w:rPr>
                <w:rFonts w:hint="eastAsia"/>
              </w:rPr>
              <w:t>工伤事故发生数（次）</w:t>
            </w:r>
          </w:p>
        </w:tc>
        <w:tc>
          <w:tcPr>
            <w:tcW w:w="1566" w:type="dxa"/>
            <w:tcBorders>
              <w:top w:val="nil"/>
              <w:left w:val="nil"/>
              <w:bottom w:val="single" w:color="auto" w:sz="4" w:space="0"/>
              <w:right w:val="single" w:color="auto" w:sz="4" w:space="0"/>
            </w:tcBorders>
            <w:noWrap/>
            <w:vAlign w:val="center"/>
          </w:tcPr>
          <w:p>
            <w:pPr>
              <w:pStyle w:val="51"/>
              <w:jc w:val="center"/>
            </w:pPr>
            <w:r>
              <w:t>0</w:t>
            </w:r>
          </w:p>
        </w:tc>
        <w:tc>
          <w:tcPr>
            <w:tcW w:w="1407" w:type="dxa"/>
            <w:tcBorders>
              <w:top w:val="nil"/>
              <w:left w:val="nil"/>
              <w:bottom w:val="single" w:color="auto" w:sz="4" w:space="0"/>
              <w:right w:val="single" w:color="auto" w:sz="4" w:space="0"/>
            </w:tcBorders>
            <w:noWrap/>
            <w:vAlign w:val="center"/>
          </w:tcPr>
          <w:p>
            <w:pPr>
              <w:pStyle w:val="51"/>
              <w:jc w:val="center"/>
            </w:pPr>
            <w:r>
              <w:t>0</w:t>
            </w:r>
          </w:p>
        </w:tc>
        <w:tc>
          <w:tcPr>
            <w:tcW w:w="1405" w:type="dxa"/>
            <w:tcBorders>
              <w:top w:val="nil"/>
              <w:left w:val="nil"/>
              <w:bottom w:val="single" w:color="auto" w:sz="4" w:space="0"/>
              <w:right w:val="single" w:color="auto" w:sz="4" w:space="0"/>
            </w:tcBorders>
            <w:noWrap/>
            <w:vAlign w:val="center"/>
          </w:tcPr>
          <w:p>
            <w:pPr>
              <w:pStyle w:val="51"/>
              <w:jc w:val="center"/>
            </w:pPr>
            <w:r>
              <w:t>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18</w:t>
            </w:r>
          </w:p>
        </w:tc>
        <w:tc>
          <w:tcPr>
            <w:tcW w:w="3914" w:type="dxa"/>
            <w:tcBorders>
              <w:top w:val="nil"/>
              <w:left w:val="nil"/>
              <w:bottom w:val="single" w:color="auto" w:sz="4" w:space="0"/>
              <w:right w:val="single" w:color="auto" w:sz="4" w:space="0"/>
            </w:tcBorders>
            <w:noWrap/>
            <w:vAlign w:val="center"/>
          </w:tcPr>
          <w:p>
            <w:pPr>
              <w:pStyle w:val="51"/>
            </w:pPr>
            <w:r>
              <w:rPr>
                <w:rFonts w:hint="eastAsia"/>
              </w:rPr>
              <w:t>事故死亡数（人）</w:t>
            </w:r>
          </w:p>
        </w:tc>
        <w:tc>
          <w:tcPr>
            <w:tcW w:w="1566" w:type="dxa"/>
            <w:tcBorders>
              <w:top w:val="nil"/>
              <w:left w:val="nil"/>
              <w:bottom w:val="single" w:color="auto" w:sz="4" w:space="0"/>
              <w:right w:val="single" w:color="auto" w:sz="4" w:space="0"/>
            </w:tcBorders>
            <w:noWrap/>
            <w:vAlign w:val="center"/>
          </w:tcPr>
          <w:p>
            <w:pPr>
              <w:pStyle w:val="51"/>
              <w:jc w:val="center"/>
            </w:pPr>
            <w:r>
              <w:t>0</w:t>
            </w:r>
          </w:p>
        </w:tc>
        <w:tc>
          <w:tcPr>
            <w:tcW w:w="1407" w:type="dxa"/>
            <w:tcBorders>
              <w:top w:val="nil"/>
              <w:left w:val="nil"/>
              <w:bottom w:val="single" w:color="auto" w:sz="4" w:space="0"/>
              <w:right w:val="single" w:color="auto" w:sz="4" w:space="0"/>
            </w:tcBorders>
            <w:noWrap/>
            <w:vAlign w:val="center"/>
          </w:tcPr>
          <w:p>
            <w:pPr>
              <w:pStyle w:val="51"/>
              <w:jc w:val="center"/>
            </w:pPr>
            <w:r>
              <w:t>0</w:t>
            </w:r>
          </w:p>
        </w:tc>
        <w:tc>
          <w:tcPr>
            <w:tcW w:w="1405" w:type="dxa"/>
            <w:tcBorders>
              <w:top w:val="nil"/>
              <w:left w:val="nil"/>
              <w:bottom w:val="single" w:color="auto" w:sz="4" w:space="0"/>
              <w:right w:val="single" w:color="auto" w:sz="4" w:space="0"/>
            </w:tcBorders>
            <w:noWrap/>
            <w:vAlign w:val="center"/>
          </w:tcPr>
          <w:p>
            <w:pPr>
              <w:pStyle w:val="51"/>
              <w:jc w:val="center"/>
            </w:pPr>
            <w:r>
              <w:t>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19</w:t>
            </w:r>
          </w:p>
        </w:tc>
        <w:tc>
          <w:tcPr>
            <w:tcW w:w="3914" w:type="dxa"/>
            <w:tcBorders>
              <w:top w:val="nil"/>
              <w:left w:val="nil"/>
              <w:bottom w:val="single" w:color="auto" w:sz="4" w:space="0"/>
              <w:right w:val="single" w:color="auto" w:sz="4" w:space="0"/>
            </w:tcBorders>
            <w:noWrap/>
            <w:vAlign w:val="center"/>
          </w:tcPr>
          <w:p>
            <w:pPr>
              <w:pStyle w:val="51"/>
            </w:pPr>
            <w:r>
              <w:rPr>
                <w:rFonts w:hint="eastAsia"/>
              </w:rPr>
              <w:t>安全培训人次（人次）</w:t>
            </w:r>
          </w:p>
        </w:tc>
        <w:tc>
          <w:tcPr>
            <w:tcW w:w="1566" w:type="dxa"/>
            <w:tcBorders>
              <w:top w:val="nil"/>
              <w:left w:val="nil"/>
              <w:bottom w:val="single" w:color="auto" w:sz="4" w:space="0"/>
              <w:right w:val="single" w:color="auto" w:sz="4" w:space="0"/>
            </w:tcBorders>
            <w:noWrap/>
            <w:vAlign w:val="center"/>
          </w:tcPr>
          <w:p>
            <w:pPr>
              <w:pStyle w:val="51"/>
              <w:jc w:val="center"/>
            </w:pPr>
            <w:r>
              <w:t>1258</w:t>
            </w:r>
          </w:p>
        </w:tc>
        <w:tc>
          <w:tcPr>
            <w:tcW w:w="1407" w:type="dxa"/>
            <w:tcBorders>
              <w:top w:val="nil"/>
              <w:left w:val="nil"/>
              <w:bottom w:val="single" w:color="auto" w:sz="4" w:space="0"/>
              <w:right w:val="single" w:color="auto" w:sz="4" w:space="0"/>
            </w:tcBorders>
            <w:noWrap/>
            <w:vAlign w:val="center"/>
          </w:tcPr>
          <w:p>
            <w:pPr>
              <w:pStyle w:val="51"/>
              <w:jc w:val="center"/>
            </w:pPr>
            <w:r>
              <w:t>996</w:t>
            </w:r>
          </w:p>
        </w:tc>
        <w:tc>
          <w:tcPr>
            <w:tcW w:w="1405" w:type="dxa"/>
            <w:tcBorders>
              <w:top w:val="nil"/>
              <w:left w:val="nil"/>
              <w:bottom w:val="single" w:color="auto" w:sz="4" w:space="0"/>
              <w:right w:val="single" w:color="auto" w:sz="4" w:space="0"/>
            </w:tcBorders>
            <w:noWrap/>
            <w:vAlign w:val="center"/>
          </w:tcPr>
          <w:p>
            <w:pPr>
              <w:pStyle w:val="51"/>
              <w:jc w:val="center"/>
            </w:pPr>
            <w:r>
              <w:t>669</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20</w:t>
            </w:r>
          </w:p>
        </w:tc>
        <w:tc>
          <w:tcPr>
            <w:tcW w:w="3914" w:type="dxa"/>
            <w:tcBorders>
              <w:top w:val="nil"/>
              <w:left w:val="nil"/>
              <w:bottom w:val="single" w:color="auto" w:sz="4" w:space="0"/>
              <w:right w:val="single" w:color="auto" w:sz="4" w:space="0"/>
            </w:tcBorders>
            <w:noWrap/>
            <w:vAlign w:val="center"/>
          </w:tcPr>
          <w:p>
            <w:pPr>
              <w:pStyle w:val="51"/>
            </w:pPr>
            <w:r>
              <w:rPr>
                <w:rFonts w:hint="eastAsia"/>
              </w:rPr>
              <w:t>安全培训覆盖率（</w:t>
            </w:r>
            <w:r>
              <w:t>%</w:t>
            </w:r>
            <w:r>
              <w:rPr>
                <w:rFonts w:hint="eastAsia"/>
              </w:rPr>
              <w:t>）</w:t>
            </w:r>
          </w:p>
        </w:tc>
        <w:tc>
          <w:tcPr>
            <w:tcW w:w="1566" w:type="dxa"/>
            <w:tcBorders>
              <w:top w:val="nil"/>
              <w:left w:val="nil"/>
              <w:bottom w:val="single" w:color="auto" w:sz="4" w:space="0"/>
              <w:right w:val="single" w:color="auto" w:sz="4" w:space="0"/>
            </w:tcBorders>
            <w:noWrap/>
            <w:vAlign w:val="center"/>
          </w:tcPr>
          <w:p>
            <w:pPr>
              <w:pStyle w:val="51"/>
              <w:jc w:val="center"/>
            </w:pPr>
            <w:r>
              <w:t>100</w:t>
            </w:r>
          </w:p>
        </w:tc>
        <w:tc>
          <w:tcPr>
            <w:tcW w:w="1407" w:type="dxa"/>
            <w:tcBorders>
              <w:top w:val="nil"/>
              <w:left w:val="nil"/>
              <w:bottom w:val="single" w:color="auto" w:sz="4" w:space="0"/>
              <w:right w:val="single" w:color="auto" w:sz="4" w:space="0"/>
            </w:tcBorders>
            <w:noWrap/>
            <w:vAlign w:val="center"/>
          </w:tcPr>
          <w:p>
            <w:pPr>
              <w:pStyle w:val="51"/>
              <w:jc w:val="center"/>
            </w:pPr>
            <w:r>
              <w:t>100</w:t>
            </w:r>
          </w:p>
        </w:tc>
        <w:tc>
          <w:tcPr>
            <w:tcW w:w="1405" w:type="dxa"/>
            <w:tcBorders>
              <w:top w:val="nil"/>
              <w:left w:val="nil"/>
              <w:bottom w:val="single" w:color="auto" w:sz="4" w:space="0"/>
              <w:right w:val="single" w:color="auto" w:sz="4" w:space="0"/>
            </w:tcBorders>
            <w:noWrap/>
            <w:vAlign w:val="center"/>
          </w:tcPr>
          <w:p>
            <w:pPr>
              <w:pStyle w:val="51"/>
              <w:jc w:val="center"/>
            </w:pPr>
            <w:r>
              <w:t>100</w:t>
            </w:r>
          </w:p>
        </w:tc>
      </w:tr>
      <w:tr>
        <w:tblPrEx>
          <w:tblCellMar>
            <w:top w:w="0" w:type="dxa"/>
            <w:left w:w="108" w:type="dxa"/>
            <w:bottom w:w="0" w:type="dxa"/>
            <w:right w:w="108" w:type="dxa"/>
          </w:tblCellMar>
        </w:tblPrEx>
        <w:trPr>
          <w:trHeight w:val="498" w:hRule="atLeast"/>
        </w:trPr>
        <w:tc>
          <w:tcPr>
            <w:tcW w:w="1278" w:type="dxa"/>
            <w:tcBorders>
              <w:top w:val="nil"/>
              <w:left w:val="single" w:color="auto" w:sz="4" w:space="0"/>
              <w:bottom w:val="single" w:color="auto" w:sz="4" w:space="0"/>
              <w:right w:val="single" w:color="auto" w:sz="4" w:space="0"/>
            </w:tcBorders>
            <w:noWrap/>
            <w:vAlign w:val="center"/>
          </w:tcPr>
          <w:p>
            <w:pPr>
              <w:pStyle w:val="51"/>
              <w:jc w:val="center"/>
            </w:pPr>
            <w:r>
              <w:t>21</w:t>
            </w:r>
          </w:p>
        </w:tc>
        <w:tc>
          <w:tcPr>
            <w:tcW w:w="3914" w:type="dxa"/>
            <w:tcBorders>
              <w:top w:val="nil"/>
              <w:left w:val="nil"/>
              <w:bottom w:val="single" w:color="auto" w:sz="4" w:space="0"/>
              <w:right w:val="single" w:color="auto" w:sz="4" w:space="0"/>
            </w:tcBorders>
            <w:noWrap/>
            <w:vAlign w:val="center"/>
          </w:tcPr>
          <w:p>
            <w:pPr>
              <w:pStyle w:val="51"/>
            </w:pPr>
            <w:r>
              <w:rPr>
                <w:rFonts w:hint="eastAsia"/>
              </w:rPr>
              <w:t>万元产值可比价综合能耗</w:t>
            </w:r>
          </w:p>
        </w:tc>
        <w:tc>
          <w:tcPr>
            <w:tcW w:w="1566" w:type="dxa"/>
            <w:tcBorders>
              <w:top w:val="nil"/>
              <w:left w:val="nil"/>
              <w:bottom w:val="single" w:color="auto" w:sz="4" w:space="0"/>
              <w:right w:val="single" w:color="auto" w:sz="4" w:space="0"/>
            </w:tcBorders>
            <w:noWrap/>
            <w:vAlign w:val="center"/>
          </w:tcPr>
          <w:p>
            <w:pPr>
              <w:pStyle w:val="51"/>
              <w:jc w:val="center"/>
            </w:pPr>
            <w:r>
              <w:t>4</w:t>
            </w:r>
          </w:p>
        </w:tc>
        <w:tc>
          <w:tcPr>
            <w:tcW w:w="1407" w:type="dxa"/>
            <w:tcBorders>
              <w:top w:val="nil"/>
              <w:left w:val="nil"/>
              <w:bottom w:val="single" w:color="auto" w:sz="4" w:space="0"/>
              <w:right w:val="single" w:color="auto" w:sz="4" w:space="0"/>
            </w:tcBorders>
            <w:noWrap/>
            <w:vAlign w:val="center"/>
          </w:tcPr>
          <w:p>
            <w:pPr>
              <w:pStyle w:val="51"/>
              <w:jc w:val="center"/>
            </w:pPr>
            <w:r>
              <w:t>4</w:t>
            </w:r>
          </w:p>
        </w:tc>
        <w:tc>
          <w:tcPr>
            <w:tcW w:w="1405" w:type="dxa"/>
            <w:tcBorders>
              <w:top w:val="nil"/>
              <w:left w:val="nil"/>
              <w:bottom w:val="single" w:color="auto" w:sz="4" w:space="0"/>
              <w:right w:val="single" w:color="auto" w:sz="4" w:space="0"/>
            </w:tcBorders>
            <w:noWrap/>
            <w:vAlign w:val="center"/>
          </w:tcPr>
          <w:p>
            <w:pPr>
              <w:pStyle w:val="51"/>
              <w:jc w:val="center"/>
            </w:pPr>
            <w:r>
              <w:t>4.1</w:t>
            </w:r>
          </w:p>
        </w:tc>
      </w:tr>
    </w:tbl>
    <w:p>
      <w:pPr>
        <w:pStyle w:val="2"/>
      </w:pPr>
      <w:bookmarkStart w:id="3" w:name="_Toc5262385"/>
      <w:r>
        <w:rPr>
          <w:rFonts w:hint="eastAsia"/>
        </w:rPr>
        <w:t>价值创造</w:t>
      </w:r>
      <w:bookmarkEnd w:id="3"/>
    </w:p>
    <w:p>
      <w:pPr>
        <w:pStyle w:val="3"/>
        <w:numPr>
          <w:ilvl w:val="1"/>
          <w:numId w:val="0"/>
        </w:numPr>
      </w:pPr>
      <w:bookmarkStart w:id="4" w:name="_Toc5262386"/>
      <w:r>
        <w:t>4.1</w:t>
      </w:r>
      <w:r>
        <w:rPr>
          <w:rFonts w:hint="eastAsia"/>
        </w:rPr>
        <w:t>经营业绩</w:t>
      </w:r>
      <w:bookmarkEnd w:id="4"/>
    </w:p>
    <w:p>
      <w:pPr>
        <w:ind w:firstLine="560" w:firstLineChars="200"/>
      </w:pPr>
      <w:r>
        <w:rPr>
          <w:rFonts w:hint="eastAsia"/>
          <w:lang w:eastAsia="zh-CN"/>
        </w:rPr>
        <w:t>弘也</w:t>
      </w:r>
      <w:r>
        <w:rPr>
          <w:rFonts w:hint="eastAsia"/>
        </w:rPr>
        <w:t>水泥近三年业绩如下表所示：</w:t>
      </w:r>
    </w:p>
    <w:tbl>
      <w:tblPr>
        <w:tblStyle w:val="24"/>
        <w:tblW w:w="9570" w:type="dxa"/>
        <w:tblInd w:w="0" w:type="dxa"/>
        <w:tblLayout w:type="fixed"/>
        <w:tblCellMar>
          <w:top w:w="0" w:type="dxa"/>
          <w:left w:w="108" w:type="dxa"/>
          <w:bottom w:w="0" w:type="dxa"/>
          <w:right w:w="108" w:type="dxa"/>
        </w:tblCellMar>
      </w:tblPr>
      <w:tblGrid>
        <w:gridCol w:w="1250"/>
        <w:gridCol w:w="2944"/>
        <w:gridCol w:w="1376"/>
        <w:gridCol w:w="1376"/>
        <w:gridCol w:w="1376"/>
        <w:gridCol w:w="1248"/>
      </w:tblGrid>
      <w:tr>
        <w:tblPrEx>
          <w:tblCellMar>
            <w:top w:w="0" w:type="dxa"/>
            <w:left w:w="108" w:type="dxa"/>
            <w:bottom w:w="0" w:type="dxa"/>
            <w:right w:w="108" w:type="dxa"/>
          </w:tblCellMar>
        </w:tblPrEx>
        <w:trPr>
          <w:trHeight w:val="498" w:hRule="atLeast"/>
        </w:trPr>
        <w:tc>
          <w:tcPr>
            <w:tcW w:w="125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auto"/>
              <w:jc w:val="center"/>
              <w:rPr>
                <w:b/>
                <w:color w:val="000000"/>
                <w:kern w:val="0"/>
                <w:sz w:val="24"/>
                <w:szCs w:val="24"/>
              </w:rPr>
            </w:pPr>
            <w:r>
              <w:rPr>
                <w:rFonts w:hint="eastAsia"/>
                <w:b/>
                <w:color w:val="000000"/>
                <w:kern w:val="0"/>
                <w:sz w:val="24"/>
                <w:szCs w:val="24"/>
              </w:rPr>
              <w:t>序号</w:t>
            </w:r>
          </w:p>
        </w:tc>
        <w:tc>
          <w:tcPr>
            <w:tcW w:w="2944" w:type="dxa"/>
            <w:tcBorders>
              <w:top w:val="single" w:color="auto" w:sz="4" w:space="0"/>
              <w:left w:val="nil"/>
              <w:bottom w:val="single" w:color="auto" w:sz="4" w:space="0"/>
              <w:right w:val="single" w:color="auto" w:sz="4" w:space="0"/>
            </w:tcBorders>
            <w:noWrap/>
            <w:vAlign w:val="center"/>
          </w:tcPr>
          <w:p>
            <w:pPr>
              <w:widowControl/>
              <w:spacing w:line="240" w:lineRule="auto"/>
              <w:jc w:val="center"/>
              <w:rPr>
                <w:b/>
                <w:color w:val="000000"/>
                <w:kern w:val="0"/>
                <w:sz w:val="24"/>
                <w:szCs w:val="24"/>
              </w:rPr>
            </w:pPr>
            <w:r>
              <w:rPr>
                <w:rFonts w:hint="eastAsia"/>
                <w:b/>
                <w:color w:val="000000"/>
                <w:kern w:val="0"/>
                <w:sz w:val="24"/>
                <w:szCs w:val="24"/>
              </w:rPr>
              <w:t>年份项目</w:t>
            </w:r>
          </w:p>
        </w:tc>
        <w:tc>
          <w:tcPr>
            <w:tcW w:w="1376"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eastAsia="宋体"/>
                <w:b/>
                <w:color w:val="000000"/>
                <w:kern w:val="0"/>
                <w:sz w:val="24"/>
                <w:szCs w:val="24"/>
                <w:lang w:val="en-US" w:eastAsia="zh-CN"/>
              </w:rPr>
            </w:pPr>
            <w:r>
              <w:rPr>
                <w:b/>
                <w:color w:val="000000"/>
                <w:kern w:val="0"/>
                <w:sz w:val="24"/>
                <w:szCs w:val="24"/>
              </w:rPr>
              <w:t>201</w:t>
            </w:r>
            <w:r>
              <w:rPr>
                <w:rFonts w:hint="eastAsia"/>
                <w:b/>
                <w:color w:val="000000"/>
                <w:kern w:val="0"/>
                <w:sz w:val="24"/>
                <w:szCs w:val="24"/>
                <w:lang w:val="en-US" w:eastAsia="zh-CN"/>
              </w:rPr>
              <w:t>9</w:t>
            </w:r>
          </w:p>
        </w:tc>
        <w:tc>
          <w:tcPr>
            <w:tcW w:w="1376"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eastAsia="宋体"/>
                <w:b/>
                <w:color w:val="000000"/>
                <w:kern w:val="0"/>
                <w:sz w:val="24"/>
                <w:szCs w:val="24"/>
                <w:lang w:val="en-US" w:eastAsia="zh-CN"/>
              </w:rPr>
            </w:pPr>
            <w:r>
              <w:rPr>
                <w:b/>
                <w:color w:val="000000"/>
                <w:kern w:val="0"/>
                <w:sz w:val="24"/>
                <w:szCs w:val="24"/>
              </w:rPr>
              <w:t>201</w:t>
            </w:r>
            <w:r>
              <w:rPr>
                <w:rFonts w:hint="eastAsia"/>
                <w:b/>
                <w:color w:val="000000"/>
                <w:kern w:val="0"/>
                <w:sz w:val="24"/>
                <w:szCs w:val="24"/>
                <w:lang w:val="en-US" w:eastAsia="zh-CN"/>
              </w:rPr>
              <w:t>8</w:t>
            </w:r>
          </w:p>
        </w:tc>
        <w:tc>
          <w:tcPr>
            <w:tcW w:w="1376" w:type="dxa"/>
            <w:tcBorders>
              <w:top w:val="single" w:color="auto" w:sz="4" w:space="0"/>
              <w:left w:val="nil"/>
              <w:bottom w:val="single" w:color="auto" w:sz="4" w:space="0"/>
              <w:right w:val="single" w:color="auto" w:sz="4" w:space="0"/>
            </w:tcBorders>
            <w:noWrap/>
            <w:vAlign w:val="center"/>
          </w:tcPr>
          <w:p>
            <w:pPr>
              <w:widowControl/>
              <w:spacing w:line="240" w:lineRule="auto"/>
              <w:jc w:val="center"/>
              <w:rPr>
                <w:rFonts w:hint="eastAsia" w:eastAsia="宋体"/>
                <w:b/>
                <w:color w:val="000000"/>
                <w:kern w:val="0"/>
                <w:sz w:val="24"/>
                <w:szCs w:val="24"/>
                <w:lang w:val="en-US" w:eastAsia="zh-CN"/>
              </w:rPr>
            </w:pPr>
            <w:r>
              <w:rPr>
                <w:b/>
                <w:color w:val="000000"/>
                <w:kern w:val="0"/>
                <w:sz w:val="24"/>
                <w:szCs w:val="24"/>
              </w:rPr>
              <w:t>201</w:t>
            </w:r>
            <w:r>
              <w:rPr>
                <w:rFonts w:hint="eastAsia"/>
                <w:b/>
                <w:color w:val="000000"/>
                <w:kern w:val="0"/>
                <w:sz w:val="24"/>
                <w:szCs w:val="24"/>
                <w:lang w:val="en-US" w:eastAsia="zh-CN"/>
              </w:rPr>
              <w:t>7</w:t>
            </w:r>
          </w:p>
        </w:tc>
        <w:tc>
          <w:tcPr>
            <w:tcW w:w="1248" w:type="dxa"/>
            <w:tcBorders>
              <w:top w:val="single" w:color="auto" w:sz="4" w:space="0"/>
              <w:left w:val="nil"/>
              <w:bottom w:val="single" w:color="auto" w:sz="4" w:space="0"/>
              <w:right w:val="single" w:color="auto" w:sz="4" w:space="0"/>
            </w:tcBorders>
            <w:noWrap/>
            <w:vAlign w:val="center"/>
          </w:tcPr>
          <w:p>
            <w:pPr>
              <w:widowControl/>
              <w:spacing w:line="240" w:lineRule="auto"/>
              <w:jc w:val="center"/>
              <w:rPr>
                <w:b/>
                <w:color w:val="000000"/>
                <w:kern w:val="0"/>
                <w:sz w:val="24"/>
                <w:szCs w:val="24"/>
              </w:rPr>
            </w:pPr>
            <w:r>
              <w:rPr>
                <w:rFonts w:hint="eastAsia"/>
                <w:b/>
                <w:color w:val="000000"/>
                <w:kern w:val="0"/>
                <w:sz w:val="24"/>
                <w:szCs w:val="24"/>
              </w:rPr>
              <w:t>备注</w:t>
            </w:r>
          </w:p>
        </w:tc>
      </w:tr>
      <w:tr>
        <w:tblPrEx>
          <w:tblCellMar>
            <w:top w:w="0" w:type="dxa"/>
            <w:left w:w="108" w:type="dxa"/>
            <w:bottom w:w="0" w:type="dxa"/>
            <w:right w:w="108" w:type="dxa"/>
          </w:tblCellMar>
        </w:tblPrEx>
        <w:trPr>
          <w:trHeight w:val="498" w:hRule="atLeast"/>
        </w:trPr>
        <w:tc>
          <w:tcPr>
            <w:tcW w:w="125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szCs w:val="24"/>
              </w:rPr>
            </w:pPr>
            <w:r>
              <w:rPr>
                <w:color w:val="000000"/>
                <w:kern w:val="0"/>
                <w:sz w:val="24"/>
                <w:szCs w:val="24"/>
              </w:rPr>
              <w:t>1</w:t>
            </w:r>
          </w:p>
        </w:tc>
        <w:tc>
          <w:tcPr>
            <w:tcW w:w="2944" w:type="dxa"/>
            <w:tcBorders>
              <w:top w:val="nil"/>
              <w:left w:val="nil"/>
              <w:bottom w:val="single" w:color="auto" w:sz="4" w:space="0"/>
              <w:right w:val="single" w:color="auto" w:sz="4" w:space="0"/>
            </w:tcBorders>
            <w:noWrap/>
            <w:vAlign w:val="center"/>
          </w:tcPr>
          <w:p>
            <w:pPr>
              <w:widowControl/>
              <w:spacing w:line="240" w:lineRule="auto"/>
              <w:jc w:val="center"/>
              <w:rPr>
                <w:color w:val="000000"/>
                <w:kern w:val="0"/>
                <w:sz w:val="24"/>
                <w:szCs w:val="24"/>
              </w:rPr>
            </w:pPr>
            <w:r>
              <w:rPr>
                <w:rFonts w:hint="eastAsia"/>
                <w:color w:val="000000"/>
                <w:kern w:val="0"/>
                <w:sz w:val="24"/>
                <w:szCs w:val="24"/>
              </w:rPr>
              <w:t>营业收入（万元）</w:t>
            </w:r>
          </w:p>
        </w:tc>
        <w:tc>
          <w:tcPr>
            <w:tcW w:w="1376" w:type="dxa"/>
            <w:tcBorders>
              <w:top w:val="nil"/>
              <w:left w:val="nil"/>
              <w:bottom w:val="single" w:color="auto" w:sz="4" w:space="0"/>
              <w:right w:val="single" w:color="auto" w:sz="4" w:space="0"/>
            </w:tcBorders>
            <w:noWrap/>
            <w:vAlign w:val="center"/>
          </w:tcPr>
          <w:p>
            <w:pPr>
              <w:pStyle w:val="51"/>
              <w:jc w:val="center"/>
              <w:rPr>
                <w:rFonts w:hint="default" w:eastAsia="仿宋"/>
                <w:color w:val="000000"/>
                <w:kern w:val="0"/>
                <w:sz w:val="24"/>
                <w:szCs w:val="24"/>
                <w:lang w:val="en-US" w:eastAsia="zh-CN"/>
              </w:rPr>
            </w:pPr>
            <w:r>
              <w:rPr>
                <w:rFonts w:hint="eastAsia"/>
                <w:color w:val="000000"/>
                <w:kern w:val="0"/>
                <w:sz w:val="24"/>
                <w:szCs w:val="24"/>
                <w:lang w:val="en-US" w:eastAsia="zh-CN"/>
              </w:rPr>
              <w:t>84382.06</w:t>
            </w:r>
          </w:p>
        </w:tc>
        <w:tc>
          <w:tcPr>
            <w:tcW w:w="1376" w:type="dxa"/>
            <w:tcBorders>
              <w:top w:val="nil"/>
              <w:left w:val="nil"/>
              <w:bottom w:val="single" w:color="auto" w:sz="4" w:space="0"/>
              <w:right w:val="single" w:color="auto" w:sz="4" w:space="0"/>
            </w:tcBorders>
            <w:noWrap/>
            <w:vAlign w:val="center"/>
          </w:tcPr>
          <w:p>
            <w:pPr>
              <w:pStyle w:val="51"/>
              <w:jc w:val="center"/>
              <w:rPr>
                <w:rFonts w:hint="default" w:eastAsia="仿宋"/>
                <w:color w:val="000000"/>
                <w:kern w:val="0"/>
                <w:sz w:val="24"/>
                <w:szCs w:val="24"/>
                <w:lang w:val="en-US" w:eastAsia="zh-CN"/>
              </w:rPr>
            </w:pPr>
            <w:r>
              <w:rPr>
                <w:rFonts w:hint="eastAsia"/>
                <w:lang w:val="en-US" w:eastAsia="zh-CN"/>
              </w:rPr>
              <w:t>77771.49</w:t>
            </w:r>
          </w:p>
        </w:tc>
        <w:tc>
          <w:tcPr>
            <w:tcW w:w="1376" w:type="dxa"/>
            <w:tcBorders>
              <w:top w:val="nil"/>
              <w:left w:val="nil"/>
              <w:bottom w:val="single" w:color="auto" w:sz="4" w:space="0"/>
              <w:right w:val="single" w:color="auto" w:sz="4" w:space="0"/>
            </w:tcBorders>
            <w:noWrap/>
            <w:vAlign w:val="center"/>
          </w:tcPr>
          <w:p>
            <w:pPr>
              <w:pStyle w:val="51"/>
              <w:jc w:val="center"/>
              <w:rPr>
                <w:rFonts w:hint="default" w:eastAsia="仿宋"/>
                <w:color w:val="000000"/>
                <w:kern w:val="0"/>
                <w:sz w:val="24"/>
                <w:szCs w:val="24"/>
                <w:lang w:val="en-US" w:eastAsia="zh-CN"/>
              </w:rPr>
            </w:pPr>
            <w:r>
              <w:rPr>
                <w:rFonts w:hint="eastAsia"/>
                <w:lang w:val="en-US" w:eastAsia="zh-CN"/>
              </w:rPr>
              <w:t>67627.38</w:t>
            </w:r>
          </w:p>
        </w:tc>
        <w:tc>
          <w:tcPr>
            <w:tcW w:w="1248" w:type="dxa"/>
            <w:tcBorders>
              <w:top w:val="nil"/>
              <w:left w:val="nil"/>
              <w:bottom w:val="single" w:color="auto" w:sz="4" w:space="0"/>
              <w:right w:val="single" w:color="auto" w:sz="4" w:space="0"/>
            </w:tcBorders>
            <w:noWrap/>
            <w:vAlign w:val="center"/>
          </w:tcPr>
          <w:p>
            <w:pPr>
              <w:widowControl/>
              <w:spacing w:line="240" w:lineRule="auto"/>
              <w:jc w:val="center"/>
              <w:rPr>
                <w:color w:val="000000"/>
                <w:kern w:val="0"/>
                <w:sz w:val="24"/>
                <w:szCs w:val="24"/>
              </w:rPr>
            </w:pPr>
            <w:r>
              <w:rPr>
                <w:rFonts w:hint="eastAsia"/>
                <w:color w:val="000000"/>
                <w:kern w:val="0"/>
                <w:sz w:val="24"/>
                <w:szCs w:val="24"/>
              </w:rPr>
              <w:t>　</w:t>
            </w:r>
          </w:p>
        </w:tc>
      </w:tr>
      <w:tr>
        <w:tblPrEx>
          <w:tblCellMar>
            <w:top w:w="0" w:type="dxa"/>
            <w:left w:w="108" w:type="dxa"/>
            <w:bottom w:w="0" w:type="dxa"/>
            <w:right w:w="108" w:type="dxa"/>
          </w:tblCellMar>
        </w:tblPrEx>
        <w:trPr>
          <w:trHeight w:val="498" w:hRule="atLeast"/>
        </w:trPr>
        <w:tc>
          <w:tcPr>
            <w:tcW w:w="125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szCs w:val="24"/>
              </w:rPr>
            </w:pPr>
            <w:r>
              <w:rPr>
                <w:color w:val="000000"/>
                <w:kern w:val="0"/>
                <w:sz w:val="24"/>
                <w:szCs w:val="24"/>
              </w:rPr>
              <w:t>2</w:t>
            </w:r>
          </w:p>
        </w:tc>
        <w:tc>
          <w:tcPr>
            <w:tcW w:w="2944" w:type="dxa"/>
            <w:tcBorders>
              <w:top w:val="nil"/>
              <w:left w:val="nil"/>
              <w:bottom w:val="single" w:color="auto" w:sz="4" w:space="0"/>
              <w:right w:val="single" w:color="auto" w:sz="4" w:space="0"/>
            </w:tcBorders>
            <w:noWrap/>
            <w:vAlign w:val="center"/>
          </w:tcPr>
          <w:p>
            <w:pPr>
              <w:widowControl/>
              <w:spacing w:line="240" w:lineRule="auto"/>
              <w:jc w:val="center"/>
              <w:rPr>
                <w:color w:val="000000"/>
                <w:kern w:val="0"/>
                <w:sz w:val="24"/>
                <w:szCs w:val="24"/>
              </w:rPr>
            </w:pPr>
            <w:r>
              <w:rPr>
                <w:rFonts w:hint="eastAsia"/>
                <w:color w:val="000000"/>
                <w:kern w:val="0"/>
                <w:sz w:val="24"/>
                <w:szCs w:val="24"/>
              </w:rPr>
              <w:t>利润（万元）</w:t>
            </w:r>
          </w:p>
        </w:tc>
        <w:tc>
          <w:tcPr>
            <w:tcW w:w="1376" w:type="dxa"/>
            <w:tcBorders>
              <w:top w:val="nil"/>
              <w:left w:val="nil"/>
              <w:bottom w:val="single" w:color="auto" w:sz="4" w:space="0"/>
              <w:right w:val="single" w:color="auto" w:sz="4" w:space="0"/>
            </w:tcBorders>
            <w:noWrap/>
            <w:vAlign w:val="center"/>
          </w:tcPr>
          <w:p>
            <w:pPr>
              <w:pStyle w:val="51"/>
              <w:jc w:val="center"/>
              <w:rPr>
                <w:rFonts w:hint="default" w:eastAsia="仿宋"/>
                <w:color w:val="000000"/>
                <w:kern w:val="0"/>
                <w:sz w:val="24"/>
                <w:szCs w:val="24"/>
                <w:lang w:val="en-US" w:eastAsia="zh-CN"/>
              </w:rPr>
            </w:pPr>
            <w:r>
              <w:rPr>
                <w:rFonts w:hint="eastAsia"/>
                <w:color w:val="000000"/>
                <w:kern w:val="0"/>
                <w:sz w:val="24"/>
                <w:szCs w:val="24"/>
                <w:lang w:val="en-US" w:eastAsia="zh-CN"/>
              </w:rPr>
              <w:t>8314.03</w:t>
            </w:r>
          </w:p>
        </w:tc>
        <w:tc>
          <w:tcPr>
            <w:tcW w:w="1376" w:type="dxa"/>
            <w:tcBorders>
              <w:top w:val="nil"/>
              <w:left w:val="nil"/>
              <w:bottom w:val="single" w:color="auto" w:sz="4" w:space="0"/>
              <w:right w:val="single" w:color="auto" w:sz="4" w:space="0"/>
            </w:tcBorders>
            <w:noWrap/>
            <w:vAlign w:val="center"/>
          </w:tcPr>
          <w:p>
            <w:pPr>
              <w:pStyle w:val="51"/>
              <w:jc w:val="center"/>
              <w:rPr>
                <w:rFonts w:hint="default" w:eastAsia="仿宋"/>
                <w:color w:val="000000"/>
                <w:kern w:val="0"/>
                <w:sz w:val="24"/>
                <w:szCs w:val="24"/>
                <w:lang w:val="en-US" w:eastAsia="zh-CN"/>
              </w:rPr>
            </w:pPr>
            <w:r>
              <w:rPr>
                <w:rFonts w:hint="eastAsia"/>
                <w:lang w:val="en-US" w:eastAsia="zh-CN"/>
              </w:rPr>
              <w:t>6968.46</w:t>
            </w:r>
          </w:p>
        </w:tc>
        <w:tc>
          <w:tcPr>
            <w:tcW w:w="1376" w:type="dxa"/>
            <w:tcBorders>
              <w:top w:val="nil"/>
              <w:left w:val="nil"/>
              <w:bottom w:val="single" w:color="auto" w:sz="4" w:space="0"/>
              <w:right w:val="single" w:color="auto" w:sz="4" w:space="0"/>
            </w:tcBorders>
            <w:noWrap/>
            <w:vAlign w:val="center"/>
          </w:tcPr>
          <w:p>
            <w:pPr>
              <w:pStyle w:val="51"/>
              <w:jc w:val="center"/>
              <w:rPr>
                <w:rFonts w:hint="default" w:eastAsia="仿宋"/>
                <w:color w:val="000000"/>
                <w:kern w:val="0"/>
                <w:sz w:val="24"/>
                <w:szCs w:val="24"/>
                <w:lang w:val="en-US" w:eastAsia="zh-CN"/>
              </w:rPr>
            </w:pPr>
            <w:r>
              <w:rPr>
                <w:rFonts w:hint="eastAsia"/>
                <w:lang w:val="en-US" w:eastAsia="zh-CN"/>
              </w:rPr>
              <w:t>6223.34</w:t>
            </w:r>
          </w:p>
        </w:tc>
        <w:tc>
          <w:tcPr>
            <w:tcW w:w="1248" w:type="dxa"/>
            <w:tcBorders>
              <w:top w:val="nil"/>
              <w:left w:val="nil"/>
              <w:bottom w:val="single" w:color="auto" w:sz="4" w:space="0"/>
              <w:right w:val="single" w:color="auto" w:sz="4" w:space="0"/>
            </w:tcBorders>
            <w:noWrap/>
            <w:vAlign w:val="center"/>
          </w:tcPr>
          <w:p>
            <w:pPr>
              <w:widowControl/>
              <w:spacing w:line="240" w:lineRule="auto"/>
              <w:jc w:val="center"/>
              <w:rPr>
                <w:color w:val="000000"/>
                <w:kern w:val="0"/>
                <w:sz w:val="24"/>
                <w:szCs w:val="24"/>
              </w:rPr>
            </w:pPr>
            <w:r>
              <w:rPr>
                <w:rFonts w:hint="eastAsia"/>
                <w:color w:val="000000"/>
                <w:kern w:val="0"/>
                <w:sz w:val="24"/>
                <w:szCs w:val="24"/>
              </w:rPr>
              <w:t>　</w:t>
            </w:r>
          </w:p>
        </w:tc>
      </w:tr>
      <w:tr>
        <w:tblPrEx>
          <w:tblCellMar>
            <w:top w:w="0" w:type="dxa"/>
            <w:left w:w="108" w:type="dxa"/>
            <w:bottom w:w="0" w:type="dxa"/>
            <w:right w:w="108" w:type="dxa"/>
          </w:tblCellMar>
        </w:tblPrEx>
        <w:trPr>
          <w:trHeight w:val="498" w:hRule="atLeast"/>
        </w:trPr>
        <w:tc>
          <w:tcPr>
            <w:tcW w:w="1250" w:type="dxa"/>
            <w:tcBorders>
              <w:top w:val="nil"/>
              <w:left w:val="single" w:color="auto" w:sz="4" w:space="0"/>
              <w:bottom w:val="single" w:color="auto" w:sz="4" w:space="0"/>
              <w:right w:val="single" w:color="auto" w:sz="4" w:space="0"/>
            </w:tcBorders>
            <w:noWrap/>
            <w:vAlign w:val="center"/>
          </w:tcPr>
          <w:p>
            <w:pPr>
              <w:widowControl/>
              <w:spacing w:line="240" w:lineRule="auto"/>
              <w:jc w:val="center"/>
              <w:rPr>
                <w:color w:val="000000"/>
                <w:kern w:val="0"/>
                <w:sz w:val="24"/>
                <w:szCs w:val="24"/>
              </w:rPr>
            </w:pPr>
            <w:r>
              <w:rPr>
                <w:color w:val="000000"/>
                <w:kern w:val="0"/>
                <w:sz w:val="24"/>
                <w:szCs w:val="24"/>
              </w:rPr>
              <w:t>3</w:t>
            </w:r>
          </w:p>
        </w:tc>
        <w:tc>
          <w:tcPr>
            <w:tcW w:w="2944" w:type="dxa"/>
            <w:tcBorders>
              <w:top w:val="nil"/>
              <w:left w:val="nil"/>
              <w:bottom w:val="single" w:color="auto" w:sz="4" w:space="0"/>
              <w:right w:val="single" w:color="auto" w:sz="4" w:space="0"/>
            </w:tcBorders>
            <w:noWrap/>
            <w:vAlign w:val="center"/>
          </w:tcPr>
          <w:p>
            <w:pPr>
              <w:widowControl/>
              <w:spacing w:line="240" w:lineRule="auto"/>
              <w:jc w:val="center"/>
              <w:rPr>
                <w:color w:val="000000"/>
                <w:kern w:val="0"/>
                <w:sz w:val="24"/>
                <w:szCs w:val="24"/>
              </w:rPr>
            </w:pPr>
            <w:r>
              <w:rPr>
                <w:rFonts w:hint="eastAsia"/>
                <w:color w:val="000000"/>
                <w:kern w:val="0"/>
                <w:sz w:val="24"/>
                <w:szCs w:val="24"/>
              </w:rPr>
              <w:t>纳税总额（万元）</w:t>
            </w:r>
          </w:p>
        </w:tc>
        <w:tc>
          <w:tcPr>
            <w:tcW w:w="1376" w:type="dxa"/>
            <w:tcBorders>
              <w:top w:val="nil"/>
              <w:left w:val="nil"/>
              <w:bottom w:val="single" w:color="auto" w:sz="4" w:space="0"/>
              <w:right w:val="single" w:color="auto" w:sz="4" w:space="0"/>
            </w:tcBorders>
            <w:noWrap/>
            <w:vAlign w:val="center"/>
          </w:tcPr>
          <w:p>
            <w:pPr>
              <w:widowControl/>
              <w:spacing w:line="240" w:lineRule="auto"/>
              <w:jc w:val="center"/>
              <w:rPr>
                <w:rFonts w:hint="default" w:eastAsia="宋体"/>
                <w:color w:val="000000"/>
                <w:kern w:val="0"/>
                <w:sz w:val="24"/>
                <w:szCs w:val="24"/>
                <w:lang w:val="en-US" w:eastAsia="zh-CN"/>
              </w:rPr>
            </w:pPr>
            <w:r>
              <w:rPr>
                <w:rFonts w:hint="eastAsia"/>
                <w:color w:val="000000"/>
                <w:kern w:val="0"/>
                <w:sz w:val="24"/>
                <w:szCs w:val="24"/>
                <w:lang w:val="en-US" w:eastAsia="zh-CN"/>
              </w:rPr>
              <w:t>2078.51</w:t>
            </w:r>
          </w:p>
        </w:tc>
        <w:tc>
          <w:tcPr>
            <w:tcW w:w="1376" w:type="dxa"/>
            <w:tcBorders>
              <w:top w:val="nil"/>
              <w:left w:val="nil"/>
              <w:bottom w:val="single" w:color="auto" w:sz="4" w:space="0"/>
              <w:right w:val="single" w:color="auto" w:sz="4" w:space="0"/>
            </w:tcBorders>
            <w:noWrap/>
            <w:vAlign w:val="center"/>
          </w:tcPr>
          <w:p>
            <w:pPr>
              <w:widowControl/>
              <w:spacing w:line="240" w:lineRule="auto"/>
              <w:jc w:val="center"/>
              <w:rPr>
                <w:rFonts w:hint="default" w:eastAsia="宋体"/>
                <w:color w:val="000000"/>
                <w:kern w:val="0"/>
                <w:sz w:val="24"/>
                <w:szCs w:val="24"/>
                <w:lang w:val="en-US" w:eastAsia="zh-CN"/>
              </w:rPr>
            </w:pPr>
            <w:r>
              <w:rPr>
                <w:rFonts w:hint="eastAsia"/>
                <w:color w:val="000000"/>
                <w:kern w:val="0"/>
                <w:sz w:val="24"/>
                <w:szCs w:val="24"/>
                <w:lang w:val="en-US" w:eastAsia="zh-CN"/>
              </w:rPr>
              <w:t>1741.71</w:t>
            </w:r>
          </w:p>
        </w:tc>
        <w:tc>
          <w:tcPr>
            <w:tcW w:w="1376" w:type="dxa"/>
            <w:tcBorders>
              <w:top w:val="nil"/>
              <w:left w:val="nil"/>
              <w:bottom w:val="single" w:color="auto" w:sz="4" w:space="0"/>
              <w:right w:val="single" w:color="auto" w:sz="4" w:space="0"/>
            </w:tcBorders>
            <w:noWrap/>
            <w:vAlign w:val="center"/>
          </w:tcPr>
          <w:p>
            <w:pPr>
              <w:widowControl/>
              <w:spacing w:line="240" w:lineRule="auto"/>
              <w:jc w:val="center"/>
              <w:rPr>
                <w:rFonts w:hint="default" w:eastAsia="宋体"/>
                <w:color w:val="000000"/>
                <w:kern w:val="0"/>
                <w:sz w:val="24"/>
                <w:szCs w:val="24"/>
                <w:lang w:val="en-US" w:eastAsia="zh-CN"/>
              </w:rPr>
            </w:pPr>
            <w:r>
              <w:rPr>
                <w:rFonts w:hint="eastAsia"/>
                <w:color w:val="000000"/>
                <w:kern w:val="0"/>
                <w:sz w:val="24"/>
                <w:szCs w:val="24"/>
                <w:lang w:val="en-US" w:eastAsia="zh-CN"/>
              </w:rPr>
              <w:t>1555.84</w:t>
            </w:r>
          </w:p>
        </w:tc>
        <w:tc>
          <w:tcPr>
            <w:tcW w:w="1248" w:type="dxa"/>
            <w:tcBorders>
              <w:top w:val="nil"/>
              <w:left w:val="nil"/>
              <w:bottom w:val="single" w:color="auto" w:sz="4" w:space="0"/>
              <w:right w:val="single" w:color="auto" w:sz="4" w:space="0"/>
            </w:tcBorders>
            <w:noWrap/>
            <w:vAlign w:val="center"/>
          </w:tcPr>
          <w:p>
            <w:pPr>
              <w:widowControl/>
              <w:spacing w:line="240" w:lineRule="auto"/>
              <w:jc w:val="center"/>
              <w:rPr>
                <w:color w:val="000000"/>
                <w:kern w:val="0"/>
                <w:sz w:val="24"/>
                <w:szCs w:val="24"/>
              </w:rPr>
            </w:pPr>
            <w:r>
              <w:rPr>
                <w:rFonts w:hint="eastAsia"/>
                <w:color w:val="000000"/>
                <w:kern w:val="0"/>
                <w:sz w:val="24"/>
                <w:szCs w:val="24"/>
              </w:rPr>
              <w:t>　</w:t>
            </w:r>
          </w:p>
        </w:tc>
      </w:tr>
    </w:tbl>
    <w:p>
      <w:pPr>
        <w:pStyle w:val="3"/>
        <w:numPr>
          <w:ilvl w:val="1"/>
          <w:numId w:val="0"/>
        </w:numPr>
      </w:pPr>
      <w:bookmarkStart w:id="5" w:name="_Toc5262387"/>
      <w:r>
        <w:t>4.2</w:t>
      </w:r>
      <w:r>
        <w:rPr>
          <w:rFonts w:hint="eastAsia"/>
        </w:rPr>
        <w:t>产品与技术创新</w:t>
      </w:r>
      <w:bookmarkEnd w:id="5"/>
    </w:p>
    <w:p>
      <w:pPr>
        <w:ind w:firstLine="560" w:firstLineChars="200"/>
      </w:pPr>
      <w:r>
        <w:t>201</w:t>
      </w:r>
      <w:r>
        <w:rPr>
          <w:rFonts w:hint="eastAsia"/>
          <w:lang w:val="en-US" w:eastAsia="zh-CN"/>
        </w:rPr>
        <w:t>9</w:t>
      </w:r>
      <w:r>
        <w:rPr>
          <w:rFonts w:hint="eastAsia"/>
        </w:rPr>
        <w:t>年投入的研发金额约</w:t>
      </w:r>
      <w:r>
        <w:rPr>
          <w:rFonts w:hint="eastAsia"/>
          <w:lang w:val="en-US" w:eastAsia="zh-CN"/>
        </w:rPr>
        <w:t>2140</w:t>
      </w:r>
      <w:r>
        <w:rPr>
          <w:rFonts w:hint="eastAsia"/>
        </w:rPr>
        <w:t>万元，用于智能工厂应用改造，节能降耗改造，先后于</w:t>
      </w:r>
      <w:r>
        <w:t>201</w:t>
      </w:r>
      <w:r>
        <w:rPr>
          <w:rFonts w:hint="eastAsia"/>
          <w:lang w:val="en-US" w:eastAsia="zh-CN"/>
        </w:rPr>
        <w:t>8</w:t>
      </w:r>
      <w:r>
        <w:rPr>
          <w:rFonts w:hint="eastAsia"/>
        </w:rPr>
        <w:t>年</w:t>
      </w:r>
      <w:r>
        <w:t>4</w:t>
      </w:r>
      <w:r>
        <w:rPr>
          <w:rFonts w:hint="eastAsia"/>
        </w:rPr>
        <w:t>月、</w:t>
      </w:r>
      <w:r>
        <w:t>7</w:t>
      </w:r>
      <w:r>
        <w:rPr>
          <w:rFonts w:hint="eastAsia"/>
        </w:rPr>
        <w:t>月分别获得“工业企业电力需求侧管理示范企业”荣誉称号。采用以下项目提升产品品质，降低能耗。</w:t>
      </w:r>
    </w:p>
    <w:p>
      <w:pPr>
        <w:ind w:firstLine="560" w:firstLineChars="200"/>
      </w:pPr>
      <w:r>
        <w:t>1</w:t>
      </w:r>
      <w:r>
        <w:rPr>
          <w:rFonts w:hint="eastAsia"/>
        </w:rPr>
        <w:t>、高压电机除磨机采用进相机补偿外，均采用变频或高频斩波设备，有效的降低了电耗，提高了功率因数。</w:t>
      </w:r>
    </w:p>
    <w:p>
      <w:pPr>
        <w:ind w:firstLine="560" w:firstLineChars="200"/>
      </w:pPr>
      <w:r>
        <w:t>2</w:t>
      </w:r>
      <w:r>
        <w:rPr>
          <w:rFonts w:hint="eastAsia"/>
        </w:rPr>
        <w:t>、首次开展“数字水泥”信息化项目，并建立了能源管理中心，物流管理中心，销售管理中心，资产管理中心，生产管理中心，通过信息化手段，提高能源统计、分析、管理的能力，降低能源消耗。</w:t>
      </w:r>
    </w:p>
    <w:p>
      <w:pPr>
        <w:ind w:firstLine="560" w:firstLineChars="200"/>
      </w:pPr>
      <w:r>
        <w:t>3</w:t>
      </w:r>
      <w:r>
        <w:rPr>
          <w:rFonts w:hint="eastAsia"/>
        </w:rPr>
        <w:t>、开展合同能源管理项目，对一线</w:t>
      </w:r>
      <w:r>
        <w:t>7</w:t>
      </w:r>
      <w:r>
        <w:rPr>
          <w:rFonts w:hint="eastAsia"/>
        </w:rPr>
        <w:t>台空压机进行了改造，节电率</w:t>
      </w:r>
      <w:r>
        <w:t>16%</w:t>
      </w:r>
      <w:r>
        <w:rPr>
          <w:rFonts w:hint="eastAsia"/>
        </w:rPr>
        <w:t>，降低了空压机电耗。</w:t>
      </w:r>
    </w:p>
    <w:p>
      <w:pPr>
        <w:ind w:firstLine="560" w:firstLineChars="200"/>
      </w:pPr>
      <w:r>
        <w:t>4</w:t>
      </w:r>
      <w:r>
        <w:rPr>
          <w:rFonts w:hint="eastAsia"/>
        </w:rPr>
        <w:t>、开展了能源管理体系的咨询和能源管理体系的建设工作，在</w:t>
      </w:r>
      <w:r>
        <w:t>2015</w:t>
      </w:r>
      <w:r>
        <w:rPr>
          <w:rFonts w:hint="eastAsia"/>
        </w:rPr>
        <w:t>年</w:t>
      </w:r>
      <w:r>
        <w:t>11</w:t>
      </w:r>
      <w:r>
        <w:rPr>
          <w:rFonts w:hint="eastAsia"/>
        </w:rPr>
        <w:t>月</w:t>
      </w:r>
      <w:r>
        <w:t>10</w:t>
      </w:r>
      <w:r>
        <w:rPr>
          <w:rFonts w:hint="eastAsia"/>
        </w:rPr>
        <w:t>日获得由</w:t>
      </w:r>
      <w:r>
        <w:rPr>
          <w:rFonts w:hint="eastAsia"/>
          <w:lang w:eastAsia="zh-CN"/>
        </w:rPr>
        <w:t>北京国检</w:t>
      </w:r>
      <w:r>
        <w:rPr>
          <w:rFonts w:hint="eastAsia"/>
        </w:rPr>
        <w:t>认证集团有限公司颁发的能源管理体系认证证书，并于</w:t>
      </w:r>
      <w:r>
        <w:t>2018</w:t>
      </w:r>
      <w:r>
        <w:rPr>
          <w:rFonts w:hint="eastAsia"/>
        </w:rPr>
        <w:t>年</w:t>
      </w:r>
      <w:r>
        <w:t>1</w:t>
      </w:r>
      <w:r>
        <w:rPr>
          <w:rFonts w:hint="eastAsia"/>
        </w:rPr>
        <w:t>月</w:t>
      </w:r>
      <w:r>
        <w:t>22</w:t>
      </w:r>
      <w:r>
        <w:rPr>
          <w:rFonts w:hint="eastAsia"/>
        </w:rPr>
        <w:t>日通过持续符合性审核。</w:t>
      </w:r>
    </w:p>
    <w:p>
      <w:pPr>
        <w:ind w:firstLine="560" w:firstLineChars="200"/>
      </w:pPr>
      <w:r>
        <w:rPr>
          <w:rFonts w:hint="eastAsia"/>
        </w:rPr>
        <w:t>目前我公司已采取国家推广节能技术如纯低温余热发电项目、变频器改造项目、高频斩波技术、绿色</w:t>
      </w:r>
      <w:r>
        <w:t>LED</w:t>
      </w:r>
      <w:r>
        <w:rPr>
          <w:rFonts w:hint="eastAsia"/>
        </w:rPr>
        <w:t>照明和节能灯的推广等。采取兄弟单位节能改造技术如螺旋铰刀秤的改造、窑尾回灰仓的改造、余热发电热源改造等。设备推荐节能技术如生料在线自动配料系统、智能控制系统改造等。集团推广节能技术有窑头电收尘改袋收尘等。自主改造项目有</w:t>
      </w:r>
      <w:r>
        <w:rPr>
          <w:rFonts w:hint="eastAsia"/>
          <w:color w:val="0070C0"/>
        </w:rPr>
        <w:t>节能水泵改造、</w:t>
      </w:r>
      <w:r>
        <w:rPr>
          <w:rFonts w:hint="eastAsia"/>
        </w:rPr>
        <w:t>皮带防堵料装置、余热发电并汽改造项目、窑辐射热供暖改造等。</w:t>
      </w:r>
    </w:p>
    <w:p>
      <w:pPr>
        <w:ind w:firstLine="560" w:firstLineChars="200"/>
      </w:pPr>
      <w:r>
        <w:rPr>
          <w:rFonts w:hint="eastAsia"/>
        </w:rPr>
        <w:t>未来三年，拟采取的主要能效提升措施包括：</w:t>
      </w:r>
    </w:p>
    <w:p>
      <w:pPr>
        <w:ind w:firstLine="560" w:firstLineChars="200"/>
      </w:pPr>
      <w:r>
        <w:t>1</w:t>
      </w:r>
      <w:r>
        <w:rPr>
          <w:rFonts w:hint="eastAsia"/>
        </w:rPr>
        <w:t>、对高压低压电容进行系统性的技术改造，挺高功率因数，大约投入</w:t>
      </w:r>
      <w:r>
        <w:t>40</w:t>
      </w:r>
      <w:r>
        <w:rPr>
          <w:rFonts w:hint="eastAsia"/>
        </w:rPr>
        <w:t>万元。</w:t>
      </w:r>
    </w:p>
    <w:p>
      <w:pPr>
        <w:ind w:firstLine="560" w:firstLineChars="200"/>
      </w:pPr>
      <w:r>
        <w:t>2</w:t>
      </w:r>
      <w:r>
        <w:rPr>
          <w:rFonts w:hint="eastAsia"/>
        </w:rPr>
        <w:t>、中子活化水泥元素在线分析仪再安装两套，投资约</w:t>
      </w:r>
      <w:r>
        <w:t>500</w:t>
      </w:r>
      <w:r>
        <w:rPr>
          <w:rFonts w:hint="eastAsia"/>
        </w:rPr>
        <w:t>万元，可有效的提高生料配料质量，进而降低煤耗和电耗。</w:t>
      </w:r>
    </w:p>
    <w:p>
      <w:pPr>
        <w:ind w:firstLine="560" w:firstLineChars="200"/>
      </w:pPr>
      <w:r>
        <w:t>3</w:t>
      </w:r>
      <w:r>
        <w:rPr>
          <w:rFonts w:hint="eastAsia"/>
        </w:rPr>
        <w:t>、自动化智能化设备在水泥行业的应用，提高生产效率，降低工人劳动强度，预计投资额</w:t>
      </w:r>
      <w:r>
        <w:t>150</w:t>
      </w:r>
      <w:r>
        <w:rPr>
          <w:rFonts w:hint="eastAsia"/>
        </w:rPr>
        <w:t>万元，新技术对降低产品能耗必将起到积极的推动作用。</w:t>
      </w:r>
    </w:p>
    <w:p>
      <w:pPr>
        <w:ind w:firstLine="560" w:firstLineChars="200"/>
      </w:pPr>
      <w:r>
        <w:t>4</w:t>
      </w:r>
      <w:r>
        <w:rPr>
          <w:rFonts w:hint="eastAsia"/>
        </w:rPr>
        <w:t>、能源管理中心项目后期完善：相关表格自动生成，在线能源成本分析上线，预计投资</w:t>
      </w:r>
      <w:r>
        <w:t>60</w:t>
      </w:r>
      <w:r>
        <w:rPr>
          <w:rFonts w:hint="eastAsia"/>
        </w:rPr>
        <w:t>万元，项目完成后可一键生成能耗的所有数据及相关计算结果。</w:t>
      </w:r>
    </w:p>
    <w:p>
      <w:pPr>
        <w:ind w:firstLine="560" w:firstLineChars="200"/>
      </w:pPr>
      <w:r>
        <w:t>5</w:t>
      </w:r>
      <w:r>
        <w:rPr>
          <w:rFonts w:hint="eastAsia"/>
        </w:rPr>
        <w:t>、电机能效提升项目，对现场高低压电机进行电机再造提升，提高电机的效率，</w:t>
      </w:r>
      <w:r>
        <w:t>2017</w:t>
      </w:r>
      <w:r>
        <w:rPr>
          <w:rFonts w:hint="eastAsia"/>
        </w:rPr>
        <w:t>年</w:t>
      </w:r>
      <w:r>
        <w:t>12</w:t>
      </w:r>
      <w:r>
        <w:rPr>
          <w:rFonts w:hint="eastAsia"/>
        </w:rPr>
        <w:t>月开始陆续实施，现已更换</w:t>
      </w:r>
      <w:r>
        <w:t>4</w:t>
      </w:r>
      <w:r>
        <w:rPr>
          <w:rFonts w:hint="eastAsia"/>
        </w:rPr>
        <w:t>台能效电机，后续将陆续淘汰高能耗低效率电机，更换新型节能电机。</w:t>
      </w:r>
    </w:p>
    <w:p>
      <w:pPr>
        <w:ind w:firstLine="560" w:firstLineChars="200"/>
      </w:pPr>
      <w:r>
        <w:t>6</w:t>
      </w:r>
      <w:r>
        <w:rPr>
          <w:rFonts w:hint="eastAsia"/>
        </w:rPr>
        <w:t>、能源管理体系有效运行，并根据体系要求，开展能源消耗、计量、统计、分析、对标等工作，对定期对能源消费情况进行内审、管理评审，委托第三方进行能源审计，找出差距，不断降低能源消耗。体系的良好运行可对规范企业的能源消耗起到了规范的作用，进而为能源消费结构调整和优化起到支撑性作用。</w:t>
      </w:r>
    </w:p>
    <w:p>
      <w:pPr>
        <w:pStyle w:val="2"/>
      </w:pPr>
      <w:bookmarkStart w:id="6" w:name="_Toc5262388"/>
      <w:r>
        <w:rPr>
          <w:rFonts w:hint="eastAsia"/>
        </w:rPr>
        <w:t>安全生产</w:t>
      </w:r>
      <w:bookmarkEnd w:id="6"/>
    </w:p>
    <w:p>
      <w:pPr>
        <w:pStyle w:val="3"/>
        <w:numPr>
          <w:ilvl w:val="1"/>
          <w:numId w:val="0"/>
        </w:numPr>
      </w:pPr>
      <w:bookmarkStart w:id="7" w:name="_Toc5262389"/>
      <w:r>
        <w:t>5.1</w:t>
      </w:r>
      <w:r>
        <w:rPr>
          <w:rFonts w:hint="eastAsia"/>
        </w:rPr>
        <w:t>倡导安全文化</w:t>
      </w:r>
      <w:bookmarkEnd w:id="7"/>
    </w:p>
    <w:p>
      <w:pPr>
        <w:ind w:firstLine="560" w:firstLineChars="200"/>
      </w:pPr>
      <w:r>
        <w:rPr>
          <w:rFonts w:hint="eastAsia"/>
        </w:rPr>
        <w:t>（</w:t>
      </w:r>
      <w:r>
        <w:t>1</w:t>
      </w:r>
      <w:r>
        <w:rPr>
          <w:rFonts w:hint="eastAsia"/>
        </w:rPr>
        <w:t>）公司安全愿景：用天瑞水泥，建幸福家园；关注员工的安全与健康，使公司成为平安幸福的家园。</w:t>
      </w:r>
    </w:p>
    <w:p>
      <w:pPr>
        <w:ind w:firstLine="560" w:firstLineChars="200"/>
      </w:pPr>
      <w:r>
        <w:rPr>
          <w:rFonts w:hint="eastAsia"/>
        </w:rPr>
        <w:t>（</w:t>
      </w:r>
      <w:r>
        <w:t>2</w:t>
      </w:r>
      <w:r>
        <w:rPr>
          <w:rFonts w:hint="eastAsia"/>
        </w:rPr>
        <w:t>）公司安全健康理念：以人为本，安全发展，一切事故都是可以预防的；不以牺牲员工健康和生命来换取企业发展和经济效益；不以经济效益来掩盖安全生产管理方面存在的问题。</w:t>
      </w:r>
    </w:p>
    <w:p>
      <w:pPr>
        <w:ind w:firstLine="560" w:firstLineChars="200"/>
      </w:pPr>
      <w:r>
        <w:rPr>
          <w:rFonts w:hint="eastAsia"/>
        </w:rPr>
        <w:t>（</w:t>
      </w:r>
      <w:r>
        <w:t>3</w:t>
      </w:r>
      <w:r>
        <w:rPr>
          <w:rFonts w:hint="eastAsia"/>
        </w:rPr>
        <w:t>）公司健康安全方针：安全第一、预防为主、综合治理；遵规守法、科学管理、持续改进。</w:t>
      </w:r>
    </w:p>
    <w:p>
      <w:pPr>
        <w:ind w:firstLine="560" w:firstLineChars="200"/>
      </w:pPr>
      <w:r>
        <w:rPr>
          <w:rFonts w:hint="eastAsia"/>
        </w:rPr>
        <w:t>（</w:t>
      </w:r>
      <w:r>
        <w:t>4</w:t>
      </w:r>
      <w:r>
        <w:rPr>
          <w:rFonts w:hint="eastAsia"/>
        </w:rPr>
        <w:t>）公司健康安全管理目标：重大责任安全事故为</w:t>
      </w:r>
      <w:r>
        <w:t>0</w:t>
      </w:r>
      <w:r>
        <w:rPr>
          <w:rFonts w:hint="eastAsia"/>
        </w:rPr>
        <w:t>；千人负伤率目标值为</w:t>
      </w:r>
      <w:r>
        <w:t>0</w:t>
      </w:r>
      <w:r>
        <w:rPr>
          <w:rFonts w:hint="eastAsia"/>
        </w:rPr>
        <w:t>；职业病（确诊）为：</w:t>
      </w:r>
      <w:r>
        <w:t>0</w:t>
      </w:r>
      <w:r>
        <w:rPr>
          <w:rFonts w:hint="eastAsia"/>
        </w:rPr>
        <w:t>。</w:t>
      </w:r>
    </w:p>
    <w:p>
      <w:pPr>
        <w:pStyle w:val="3"/>
        <w:numPr>
          <w:ilvl w:val="0"/>
          <w:numId w:val="0"/>
        </w:numPr>
      </w:pPr>
      <w:bookmarkStart w:id="8" w:name="_Toc5262390"/>
      <w:r>
        <w:t>5.2</w:t>
      </w:r>
      <w:r>
        <w:rPr>
          <w:rFonts w:hint="eastAsia"/>
        </w:rPr>
        <w:t>落实安全责任制</w:t>
      </w:r>
      <w:bookmarkEnd w:id="8"/>
    </w:p>
    <w:p>
      <w:pPr>
        <w:ind w:firstLine="560" w:firstLineChars="200"/>
      </w:pPr>
      <w:r>
        <w:rPr>
          <w:rFonts w:hint="eastAsia"/>
        </w:rPr>
        <w:t>公司建厂伊始，按照集团要求，创新实施安全考核机制，推行了安全系数考核，将安全责任书得分转为安全系数，对各部门负责人按照安全系数进行了考核，取得了较好的效果。公司在</w:t>
      </w:r>
      <w:r>
        <w:t>2018</w:t>
      </w:r>
      <w:r>
        <w:rPr>
          <w:rFonts w:hint="eastAsia"/>
        </w:rPr>
        <w:t>年继续推行安全系数考核，并对责任书考核内容进行了完善，同时扩大了安全系数考核范围，将安全责任逐级落实到人。</w:t>
      </w:r>
    </w:p>
    <w:p>
      <w:pPr>
        <w:pStyle w:val="3"/>
        <w:numPr>
          <w:ilvl w:val="0"/>
          <w:numId w:val="0"/>
        </w:numPr>
      </w:pPr>
      <w:bookmarkStart w:id="9" w:name="_Toc5262391"/>
      <w:r>
        <w:t>5.3</w:t>
      </w:r>
      <w:r>
        <w:rPr>
          <w:rFonts w:hint="eastAsia"/>
        </w:rPr>
        <w:t>创新安全培训管理</w:t>
      </w:r>
      <w:bookmarkEnd w:id="9"/>
    </w:p>
    <w:p>
      <w:pPr>
        <w:ind w:firstLine="560" w:firstLineChars="200"/>
      </w:pPr>
      <w:r>
        <w:rPr>
          <w:rFonts w:hint="eastAsia"/>
        </w:rPr>
        <w:t>公司创新培训管理，根据水泥行业要求学习安全行为准则及行业典型事故案例动漫培训视频，各部门利用视频开展培训工作，同时利用创办期刊、黑板报等方式进行宣传教育。</w:t>
      </w:r>
      <w:r>
        <w:t>201</w:t>
      </w:r>
      <w:r>
        <w:rPr>
          <w:rFonts w:hint="eastAsia"/>
          <w:lang w:val="en-US" w:eastAsia="zh-CN"/>
        </w:rPr>
        <w:t>9</w:t>
      </w:r>
      <w:r>
        <w:rPr>
          <w:rFonts w:hint="eastAsia"/>
        </w:rPr>
        <w:t>年，公司多次组织相关人员参加国家安监总局等专业机构举办的安全管理培训，同时结合工作实际，参加天瑞水泥集团组织的对基地安全管理人员、矿山经理及矿山安全人员进行的安全管理专业培训。通过逐级培训，全面提升企业安全管理水平。</w:t>
      </w:r>
    </w:p>
    <w:p>
      <w:pPr>
        <w:pStyle w:val="3"/>
        <w:numPr>
          <w:ilvl w:val="0"/>
          <w:numId w:val="0"/>
        </w:numPr>
      </w:pPr>
      <w:bookmarkStart w:id="10" w:name="_Toc5262392"/>
      <w:r>
        <w:t>5.4</w:t>
      </w:r>
      <w:r>
        <w:rPr>
          <w:rFonts w:hint="eastAsia"/>
        </w:rPr>
        <w:t>提高风险辨识和防控能力</w:t>
      </w:r>
      <w:bookmarkEnd w:id="10"/>
    </w:p>
    <w:p>
      <w:pPr>
        <w:ind w:firstLine="560" w:firstLineChars="200"/>
      </w:pPr>
      <w:r>
        <w:t xml:space="preserve">(1) </w:t>
      </w:r>
      <w:r>
        <w:rPr>
          <w:rFonts w:hint="eastAsia"/>
        </w:rPr>
        <w:t>风险辨识与防控机制。</w:t>
      </w:r>
      <w:r>
        <w:t>201</w:t>
      </w:r>
      <w:r>
        <w:rPr>
          <w:rFonts w:hint="eastAsia"/>
          <w:lang w:val="en-US" w:eastAsia="zh-CN"/>
        </w:rPr>
        <w:t>9</w:t>
      </w:r>
      <w:r>
        <w:rPr>
          <w:rFonts w:hint="eastAsia"/>
        </w:rPr>
        <w:t>年，公司开展了生产风险辨识评价与防控工作。并组织各部门多次进行视频培训学习。</w:t>
      </w:r>
    </w:p>
    <w:p>
      <w:pPr>
        <w:ind w:firstLine="560" w:firstLineChars="200"/>
      </w:pPr>
      <w:r>
        <w:t xml:space="preserve">(2) </w:t>
      </w:r>
      <w:r>
        <w:rPr>
          <w:rFonts w:hint="eastAsia"/>
        </w:rPr>
        <w:t>风险辨识和防控演练。公司积极创新活动模式并认真组织开展安全各种风险辨识和演练活动，提高员工的安全防范意识，公司先后组织了近</w:t>
      </w:r>
      <w:r>
        <w:rPr>
          <w:rFonts w:hint="eastAsia"/>
          <w:lang w:val="en-US" w:eastAsia="zh-CN"/>
        </w:rPr>
        <w:t>150</w:t>
      </w:r>
      <w:r>
        <w:rPr>
          <w:rFonts w:hint="eastAsia"/>
        </w:rPr>
        <w:t>人次开展了“安全设备警示日”、安全知识竞赛等形式多样、丰富多彩的宣传活动，并组织了</w:t>
      </w:r>
      <w:r>
        <w:t>4</w:t>
      </w:r>
      <w:r>
        <w:rPr>
          <w:rFonts w:hint="eastAsia"/>
        </w:rPr>
        <w:t>次，约</w:t>
      </w:r>
      <w:r>
        <w:t>120</w:t>
      </w:r>
      <w:r>
        <w:rPr>
          <w:rFonts w:hint="eastAsia"/>
        </w:rPr>
        <w:t>人次参加的安全演练。</w:t>
      </w:r>
    </w:p>
    <w:p>
      <w:pPr>
        <w:widowControl/>
        <w:spacing w:line="240" w:lineRule="auto"/>
        <w:jc w:val="left"/>
      </w:pPr>
    </w:p>
    <w:p>
      <w:pPr>
        <w:pStyle w:val="2"/>
      </w:pPr>
      <w:bookmarkStart w:id="11" w:name="_Toc5262393"/>
      <w:r>
        <w:rPr>
          <w:rFonts w:hint="eastAsia"/>
        </w:rPr>
        <w:t>员工责任</w:t>
      </w:r>
      <w:bookmarkEnd w:id="11"/>
    </w:p>
    <w:p>
      <w:pPr>
        <w:ind w:firstLine="560" w:firstLineChars="200"/>
      </w:pPr>
      <w:r>
        <w:rPr>
          <w:rFonts w:hint="eastAsia"/>
        </w:rPr>
        <w:t>公司始终视员工为企业生存和发展最宝贵的资源，把员工及其家人的安宁幸福作为公司努力的立足点，为员工创造、提供广阔的发展平台和施展个人才华的机会。</w:t>
      </w:r>
    </w:p>
    <w:p>
      <w:pPr>
        <w:ind w:firstLine="560" w:firstLineChars="200"/>
      </w:pPr>
      <w:r>
        <w:rPr>
          <w:rFonts w:hint="eastAsia"/>
        </w:rPr>
        <w:t>公司始终将安全生产和职工劳动安全卫生工作放在各项工作的首位，始终以全面贯彻执行《安全生产法》和落实《职业病防治法》为主线，认真贯彻“安全第一、预防为主、综合治理”的方针，公司工会积极配合公司推进安全生产管理和职工职业健康安全管理工作，为切实做好预防和杜绝各类安全事故的发生，把事故隐患遏制在萌芽中，保护好公司的财产安全和职工的人身、健康安全，公司投入安全生产预防设施建设</w:t>
      </w:r>
      <w:r>
        <w:t>1600</w:t>
      </w:r>
      <w:r>
        <w:rPr>
          <w:rFonts w:hint="eastAsia"/>
        </w:rPr>
        <w:t>余万元，购置安全设施标牌、急救药品和担架等，悬挂在现场，夯实了安全防范基础。</w:t>
      </w:r>
    </w:p>
    <w:p>
      <w:pPr>
        <w:ind w:firstLine="560" w:firstLineChars="200"/>
      </w:pPr>
      <w:r>
        <w:rPr>
          <w:rFonts w:hint="eastAsia"/>
        </w:rPr>
        <w:t>加强安全生产制度建设，建立健全公司、分厂和班组三级生产安全和职业病防治管理网络组织机构，由总经理任组长，公司与分厂签订安全生产目标管理责任书，强化安全责任考核，明确和细化了各级岗位责任，配备</w:t>
      </w:r>
      <w:r>
        <w:t>12</w:t>
      </w:r>
      <w:r>
        <w:rPr>
          <w:rFonts w:hint="eastAsia"/>
        </w:rPr>
        <w:t>名经过安监局培训的专兼职安全管理人员，专门负责安全生产、职业健康的管理、培训教育工作。公司每月定期组织进行生产安全检查</w:t>
      </w:r>
      <w:r>
        <w:t>2</w:t>
      </w:r>
      <w:r>
        <w:rPr>
          <w:rFonts w:hint="eastAsia"/>
        </w:rPr>
        <w:t>次，卫生检查</w:t>
      </w:r>
      <w:r>
        <w:t>3</w:t>
      </w:r>
      <w:r>
        <w:rPr>
          <w:rFonts w:hint="eastAsia"/>
        </w:rPr>
        <w:t>次，及时消除危及人身安全健康的不良条件和行为，预防事故和职业病发生，切实保护劳动者在劳动过程中的安全与健康。根据公司《事故应急预案》要求，定期组织食物中毒、失火、机械伤害等应急处理演练，通过组织的各种检查和应急演练，预防和杜绝各类安全生产事故的发生。</w:t>
      </w:r>
    </w:p>
    <w:p>
      <w:pPr>
        <w:ind w:firstLine="560" w:firstLineChars="200"/>
      </w:pPr>
      <w:r>
        <w:rPr>
          <w:rFonts w:hint="eastAsia"/>
        </w:rPr>
        <w:t>加强职工劳动保护用品管理和发放，切实做到保障职工安全和健康。公司以人为本，关爱职工，劳动保护用品配置率达到</w:t>
      </w:r>
      <w:r>
        <w:t>100%</w:t>
      </w:r>
      <w:r>
        <w:rPr>
          <w:rFonts w:hint="eastAsia"/>
        </w:rPr>
        <w:t>，每年提取</w:t>
      </w:r>
      <w:r>
        <w:t>35.76</w:t>
      </w:r>
      <w:r>
        <w:rPr>
          <w:rFonts w:hint="eastAsia"/>
        </w:rPr>
        <w:t>万元用于购买劳动保护用品，每月及时发放给每个员工，凡在劳动过程中有可能受到伤害或特殊岗位的职工，我公司按照相关标准，配备特种保护用品，如：高温防护服、头盔、面具、绝缘鞋、耳塞、绝缘手套、防腐手套、防尘口罩等配置率达到</w:t>
      </w:r>
      <w:r>
        <w:t>100%</w:t>
      </w:r>
      <w:r>
        <w:rPr>
          <w:rFonts w:hint="eastAsia"/>
        </w:rPr>
        <w:t>。电工用绝缘鞋、绝缘手套都定期由专业部门进行耐压试验。购买的所有劳保用品生产厂家都经过国家相关部门备案认可。</w:t>
      </w:r>
    </w:p>
    <w:p>
      <w:pPr>
        <w:ind w:firstLine="560" w:firstLineChars="200"/>
      </w:pPr>
      <w:r>
        <w:rPr>
          <w:rFonts w:hint="eastAsia"/>
        </w:rPr>
        <w:t>加大职业危害因素治理，切实做好员工职业病预防和防治工作。公司为了加大对职业危害因素的治理和控制，公司在原有的物料输送采用密闭设备和封闭式的储库、堆棚储存堆放的基础上，又投资</w:t>
      </w:r>
      <w:r>
        <w:t>300</w:t>
      </w:r>
      <w:r>
        <w:rPr>
          <w:rFonts w:hint="eastAsia"/>
        </w:rPr>
        <w:t>多万元对各个下料口进行了封闭改造，彻底解决下料口的粉尘排放。在生产线共安装各类收尘器</w:t>
      </w:r>
      <w:r>
        <w:t>114</w:t>
      </w:r>
      <w:r>
        <w:rPr>
          <w:rFonts w:hint="eastAsia"/>
        </w:rPr>
        <w:t>台套，含尘气体经高效除尘设备净化后有组织的排放，使各车间和操作岗位达到工业卫生标准。公司购买洒水车对矿山采石作业场和运输道路不间断地洒水，有效地抑制车辆运输扬尘；矿石爆破在白天定时采用微差爆破技术，以尽量减少飞石、扬尘；采矿工作面钻孔机采用进口潜孔钻机，钻机上配有收尘器，钻孔作业中产生的粉尘可得到有效控制；在破碎机和皮带机输送处都设置了收尘设施，降低矿山工作场所粉尘排放浓度。</w:t>
      </w:r>
    </w:p>
    <w:p>
      <w:pPr>
        <w:ind w:firstLine="560" w:firstLineChars="200"/>
      </w:pPr>
      <w:r>
        <w:rPr>
          <w:rFonts w:hint="eastAsia"/>
        </w:rPr>
        <w:t>职业病防治上，为了让每一位员工的身体健康，公司每年投资</w:t>
      </w:r>
      <w:r>
        <w:t>7.9</w:t>
      </w:r>
      <w:r>
        <w:rPr>
          <w:rFonts w:hint="eastAsia"/>
        </w:rPr>
        <w:t>万元，组织对全体员工进行一次职业病防治健康体检，特殊岗位的员工按《劳动法》和《职业病防治法》相关规定定期进行体检，新进员工实行上岗前体检，定期对作业场所的危害因素进行检测和开展安全现状和职业病危害现状申报、评估、备案工作。公司建立了一套完整的职业健康和安全管理体系，并通过了国家二级安全标准化管理体系和职业健康和安全管理体系认证。</w:t>
      </w:r>
    </w:p>
    <w:p>
      <w:pPr>
        <w:ind w:firstLine="560" w:firstLineChars="200"/>
      </w:pPr>
      <w:r>
        <w:rPr>
          <w:rFonts w:hint="eastAsia"/>
        </w:rPr>
        <w:t>我公司对职工职业技术、技能和职业素质培训高度重视，每年结合公司实际，针对各个部门的实际需求，年初制定专门的职业技术、技能和职业素质培训计划，聘请专家进行授课，聘请环保、安全监察部门的专业技术人员进行现场技术演练和指导，公司各个部部门也定期对本部门员工进行岗位技能培训，提高员工的工作技能。公司每年还参加两次集团公司组织的化验室大比武竞赛和技术交流。</w:t>
      </w:r>
    </w:p>
    <w:p>
      <w:pPr>
        <w:pStyle w:val="2"/>
      </w:pPr>
      <w:bookmarkStart w:id="12" w:name="_Toc5262394"/>
      <w:r>
        <w:rPr>
          <w:rFonts w:hint="eastAsia"/>
        </w:rPr>
        <w:t>绿色环保</w:t>
      </w:r>
      <w:bookmarkEnd w:id="12"/>
    </w:p>
    <w:p>
      <w:pPr>
        <w:ind w:firstLine="560" w:firstLineChars="200"/>
      </w:pPr>
      <w:r>
        <w:rPr>
          <w:rFonts w:hint="eastAsia"/>
        </w:rPr>
        <w:t>公司大力推行绿色生产，高度重视实施环保研发创新，积极参与社会系统的大循环，履行企业公民的绿色发展责任，注重资源的综合利用，致力于资源节约型、环境友好型、绿色环保型企业建设。</w:t>
      </w:r>
    </w:p>
    <w:p>
      <w:pPr>
        <w:ind w:firstLine="560" w:firstLineChars="200"/>
      </w:pPr>
      <w:r>
        <w:rPr>
          <w:rFonts w:hint="eastAsia"/>
        </w:rPr>
        <w:t>不断升级改造，降低颗粒物排放。公司利用年度大修机会，进行熟料生产线窑头、窑尾除尘器的安装及技改，将原有电除尘器改造成排放浓度更低和运行稳定性更高的袋式除尘器。改造后收尘效率可达</w:t>
      </w:r>
      <w:r>
        <w:t>99.9%</w:t>
      </w:r>
      <w:r>
        <w:rPr>
          <w:rFonts w:hint="eastAsia"/>
        </w:rPr>
        <w:t>，颗粒物的排放浓度均优于</w:t>
      </w:r>
      <w:r>
        <w:t>GB4915-2013</w:t>
      </w:r>
      <w:r>
        <w:rPr>
          <w:rFonts w:hint="eastAsia"/>
        </w:rPr>
        <w:t>标准，有效地降低了废气中颗粒物的排放。</w:t>
      </w:r>
      <w:r>
        <w:t>2015</w:t>
      </w:r>
      <w:r>
        <w:rPr>
          <w:rFonts w:hint="eastAsia"/>
        </w:rPr>
        <w:t>年</w:t>
      </w:r>
      <w:r>
        <w:t>-2016</w:t>
      </w:r>
      <w:r>
        <w:rPr>
          <w:rFonts w:hint="eastAsia"/>
        </w:rPr>
        <w:t>年受市场因素影响，水泥价格受到打压，产量受到影响，</w:t>
      </w:r>
      <w:r>
        <w:t>2017</w:t>
      </w:r>
      <w:r>
        <w:rPr>
          <w:rFonts w:hint="eastAsia"/>
        </w:rPr>
        <w:t>年错峰生产以后企业产能受到限制，但企业自挖潜力，</w:t>
      </w:r>
      <w:r>
        <w:rPr>
          <w:rFonts w:hint="eastAsia"/>
          <w:color w:val="000000"/>
        </w:rPr>
        <w:t>先后进行高频斩波的改造</w:t>
      </w:r>
      <w:r>
        <w:rPr>
          <w:rFonts w:hint="eastAsia"/>
        </w:rPr>
        <w:t>、窑头电收尘改袋收尘改造和空压机能源管理项目、</w:t>
      </w:r>
      <w:r>
        <w:t>2018</w:t>
      </w:r>
      <w:r>
        <w:rPr>
          <w:rFonts w:hint="eastAsia"/>
        </w:rPr>
        <w:t>年</w:t>
      </w:r>
      <w:r>
        <w:t>3</w:t>
      </w:r>
      <w:r>
        <w:rPr>
          <w:rFonts w:hint="eastAsia"/>
        </w:rPr>
        <w:t>月对余热发电冷却循环泵进行节能改造等有效的降低了电耗和保护了环境，提高了企业的竞争力，全年三条熟料线运行状态良好，受工信部和环保部《关于北方采暖地区全面试行水泥错峰生产的通知》影响，我公司于</w:t>
      </w:r>
      <w:r>
        <w:t>2016</w:t>
      </w:r>
      <w:r>
        <w:rPr>
          <w:rFonts w:hint="eastAsia"/>
        </w:rPr>
        <w:t>年</w:t>
      </w:r>
      <w:r>
        <w:rPr>
          <w:rFonts w:hint="eastAsia"/>
          <w:lang w:val="en-US" w:eastAsia="zh-CN"/>
        </w:rPr>
        <w:t>9</w:t>
      </w:r>
      <w:r>
        <w:rPr>
          <w:rFonts w:hint="eastAsia"/>
        </w:rPr>
        <w:t>月</w:t>
      </w:r>
      <w:r>
        <w:rPr>
          <w:rFonts w:hint="eastAsia"/>
          <w:lang w:val="en-US" w:eastAsia="zh-CN"/>
        </w:rPr>
        <w:t>26</w:t>
      </w:r>
      <w:r>
        <w:rPr>
          <w:rFonts w:hint="eastAsia"/>
        </w:rPr>
        <w:t>日水泥熟料线全面停产，但各生产线均可以正常生产，我公司利用这段错峰生产时间进行了彻底设备检修，试车情况良好，对正常运行和企业能耗的降低打下了良好的基础</w:t>
      </w:r>
      <w:r>
        <w:rPr>
          <w:rFonts w:hint="eastAsia"/>
          <w:lang w:eastAsia="zh-CN"/>
        </w:rPr>
        <w:t>，我公司于</w:t>
      </w:r>
      <w:r>
        <w:rPr>
          <w:rFonts w:hint="eastAsia"/>
          <w:lang w:val="en-US" w:eastAsia="zh-CN"/>
        </w:rPr>
        <w:t>2019年5月8日对水泥熟料现恢复生产</w:t>
      </w:r>
      <w:r>
        <w:rPr>
          <w:rFonts w:hint="eastAsia"/>
        </w:rPr>
        <w:t>。</w:t>
      </w:r>
    </w:p>
    <w:p>
      <w:pPr>
        <w:ind w:firstLine="560" w:firstLineChars="200"/>
      </w:pPr>
      <w:r>
        <w:rPr>
          <w:rFonts w:hint="eastAsia"/>
        </w:rPr>
        <w:t>加快生产线技改步伐，推动节能减排。为落实国家节能减排要求，践行企业绿色环保经营理念，公司不断加大环保投入，加快生产线技改步伐。作为一个负责任的企业，唐山弘也水泥有限公司坚持高标准，严要求，注重保护环境，加大在环保方面的投入，公司用于粉尘污染源治理、噪声控制、窑尾气脱硝治理、建设污水处理站、厂区绿化及矿山生态恢复等环境保护费用已经超过一亿元，粉尘、噪声污染均控制在国家规定的范围之内，生产、生活用水进行循环再利用，污水做到了零排放。</w:t>
      </w:r>
    </w:p>
    <w:sectPr>
      <w:pgSz w:w="11906" w:h="16838"/>
      <w:pgMar w:top="1134" w:right="1134" w:bottom="1134"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sz w:val="24"/>
        <w:szCs w:val="24"/>
      </w:rPr>
    </w:pPr>
    <w:r>
      <w:rPr>
        <w:rFonts w:hint="eastAsia"/>
        <w:b/>
        <w:sz w:val="24"/>
        <w:szCs w:val="24"/>
      </w:rPr>
      <w:t>第</w:t>
    </w:r>
    <w:r>
      <w:rPr>
        <w:b/>
        <w:sz w:val="24"/>
        <w:szCs w:val="24"/>
      </w:rPr>
      <w:fldChar w:fldCharType="begin"/>
    </w:r>
    <w:r>
      <w:rPr>
        <w:b/>
        <w:sz w:val="24"/>
        <w:szCs w:val="24"/>
      </w:rPr>
      <w:instrText xml:space="preserve">PAGE   \* MERGEFORMAT</w:instrText>
    </w:r>
    <w:r>
      <w:rPr>
        <w:b/>
        <w:sz w:val="24"/>
        <w:szCs w:val="24"/>
      </w:rPr>
      <w:fldChar w:fldCharType="separate"/>
    </w:r>
    <w:r>
      <w:rPr>
        <w:b/>
        <w:sz w:val="24"/>
        <w:szCs w:val="24"/>
        <w:lang w:val="zh-CN"/>
      </w:rPr>
      <w:t>12</w:t>
    </w:r>
    <w:r>
      <w:rPr>
        <w:b/>
        <w:sz w:val="24"/>
        <w:szCs w:val="24"/>
      </w:rPr>
      <w:fldChar w:fldCharType="end"/>
    </w:r>
    <w:r>
      <w:rPr>
        <w:rFonts w:hint="eastAsia"/>
        <w:b/>
        <w:sz w:val="24"/>
        <w:szCs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line="240" w:lineRule="auto"/>
      <w:jc w:val="right"/>
      <w:rPr>
        <w:rFonts w:eastAsia="方正小标宋_GBK"/>
      </w:rPr>
    </w:pPr>
    <w:r>
      <w:rPr>
        <w:rFonts w:hint="eastAsia" w:eastAsia="方正小标宋_GBK"/>
        <w:sz w:val="21"/>
      </w:rPr>
      <w:t>唐山弘也水泥有限公司</w:t>
    </w:r>
    <w:r>
      <w:rPr>
        <w:rFonts w:eastAsia="方正小标宋_GBK"/>
        <w:sz w:val="21"/>
      </w:rPr>
      <w:t>2018</w:t>
    </w:r>
    <w:r>
      <w:rPr>
        <w:rFonts w:hint="eastAsia" w:eastAsia="方正小标宋_GBK"/>
        <w:sz w:val="21"/>
      </w:rPr>
      <w:t>年企业社会责任报告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529EE"/>
    <w:multiLevelType w:val="multilevel"/>
    <w:tmpl w:val="4C9529EE"/>
    <w:lvl w:ilvl="0" w:tentative="0">
      <w:start w:val="1"/>
      <w:numFmt w:val="decimal"/>
      <w:pStyle w:val="2"/>
      <w:lvlText w:val="%1"/>
      <w:lvlJc w:val="left"/>
      <w:pPr>
        <w:ind w:left="432" w:hanging="432"/>
      </w:pPr>
      <w:rPr>
        <w:rFonts w:hint="eastAsia" w:cs="Times New Roman"/>
      </w:rPr>
    </w:lvl>
    <w:lvl w:ilvl="1" w:tentative="0">
      <w:start w:val="1"/>
      <w:numFmt w:val="decimal"/>
      <w:pStyle w:val="3"/>
      <w:lvlText w:val="%1.%2"/>
      <w:lvlJc w:val="left"/>
      <w:pPr>
        <w:ind w:left="576" w:hanging="576"/>
      </w:pPr>
      <w:rPr>
        <w:rFonts w:hint="eastAsia" w:cs="Times New Roman"/>
      </w:rPr>
    </w:lvl>
    <w:lvl w:ilvl="2" w:tentative="0">
      <w:start w:val="1"/>
      <w:numFmt w:val="decimal"/>
      <w:pStyle w:val="4"/>
      <w:lvlText w:val="%1.%2.%3"/>
      <w:lvlJc w:val="left"/>
      <w:pPr>
        <w:ind w:left="720" w:hanging="720"/>
      </w:pPr>
      <w:rPr>
        <w:rFonts w:hint="eastAsia" w:cs="Times New Roman"/>
      </w:rPr>
    </w:lvl>
    <w:lvl w:ilvl="3" w:tentative="0">
      <w:start w:val="1"/>
      <w:numFmt w:val="decimal"/>
      <w:pStyle w:val="5"/>
      <w:lvlText w:val="%1.%2.%3.%4"/>
      <w:lvlJc w:val="left"/>
      <w:pPr>
        <w:ind w:left="864" w:hanging="864"/>
      </w:pPr>
      <w:rPr>
        <w:rFonts w:hint="eastAsia" w:cs="Times New Roman"/>
      </w:rPr>
    </w:lvl>
    <w:lvl w:ilvl="4" w:tentative="0">
      <w:start w:val="1"/>
      <w:numFmt w:val="decimal"/>
      <w:pStyle w:val="6"/>
      <w:lvlText w:val="%1.%2.%3.%4.%5"/>
      <w:lvlJc w:val="left"/>
      <w:pPr>
        <w:ind w:left="1008" w:hanging="1008"/>
      </w:pPr>
      <w:rPr>
        <w:rFonts w:hint="eastAsia" w:cs="Times New Roman"/>
      </w:rPr>
    </w:lvl>
    <w:lvl w:ilvl="5" w:tentative="0">
      <w:start w:val="1"/>
      <w:numFmt w:val="decimal"/>
      <w:pStyle w:val="7"/>
      <w:lvlText w:val="%1.%2.%3.%4.%5.%6"/>
      <w:lvlJc w:val="left"/>
      <w:pPr>
        <w:ind w:left="1152" w:hanging="1152"/>
      </w:pPr>
      <w:rPr>
        <w:rFonts w:hint="eastAsia" w:cs="Times New Roman"/>
      </w:rPr>
    </w:lvl>
    <w:lvl w:ilvl="6" w:tentative="0">
      <w:start w:val="1"/>
      <w:numFmt w:val="decimal"/>
      <w:pStyle w:val="8"/>
      <w:lvlText w:val="%1.%2.%3.%4.%5.%6.%7"/>
      <w:lvlJc w:val="left"/>
      <w:pPr>
        <w:ind w:left="1296" w:hanging="1296"/>
      </w:pPr>
      <w:rPr>
        <w:rFonts w:hint="eastAsia" w:cs="Times New Roman"/>
      </w:rPr>
    </w:lvl>
    <w:lvl w:ilvl="7" w:tentative="0">
      <w:start w:val="1"/>
      <w:numFmt w:val="decimal"/>
      <w:pStyle w:val="9"/>
      <w:lvlText w:val="%1.%2.%3.%4.%5.%6.%7.%8"/>
      <w:lvlJc w:val="left"/>
      <w:pPr>
        <w:ind w:left="1440" w:hanging="1440"/>
      </w:pPr>
      <w:rPr>
        <w:rFonts w:hint="eastAsia" w:cs="Times New Roman"/>
      </w:rPr>
    </w:lvl>
    <w:lvl w:ilvl="8" w:tentative="0">
      <w:start w:val="1"/>
      <w:numFmt w:val="decimal"/>
      <w:pStyle w:val="10"/>
      <w:lvlText w:val="%1.%2.%3.%4.%5.%6.%7.%8.%9"/>
      <w:lvlJc w:val="left"/>
      <w:pPr>
        <w:ind w:left="1584" w:hanging="1584"/>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F4"/>
    <w:rsid w:val="00017B0C"/>
    <w:rsid w:val="00064B0F"/>
    <w:rsid w:val="000660D1"/>
    <w:rsid w:val="000723CA"/>
    <w:rsid w:val="000A05D8"/>
    <w:rsid w:val="000F0F76"/>
    <w:rsid w:val="000F69A1"/>
    <w:rsid w:val="0010668F"/>
    <w:rsid w:val="001516B5"/>
    <w:rsid w:val="0018115B"/>
    <w:rsid w:val="00187F34"/>
    <w:rsid w:val="00190434"/>
    <w:rsid w:val="001A20B6"/>
    <w:rsid w:val="001C2AB8"/>
    <w:rsid w:val="001E6F62"/>
    <w:rsid w:val="00230FDC"/>
    <w:rsid w:val="00283508"/>
    <w:rsid w:val="002B3E33"/>
    <w:rsid w:val="002B7BC0"/>
    <w:rsid w:val="002D26AE"/>
    <w:rsid w:val="002E1995"/>
    <w:rsid w:val="00315A61"/>
    <w:rsid w:val="003226A5"/>
    <w:rsid w:val="003306F4"/>
    <w:rsid w:val="00340AEF"/>
    <w:rsid w:val="0034484A"/>
    <w:rsid w:val="00390FAE"/>
    <w:rsid w:val="003A2A41"/>
    <w:rsid w:val="003A43FA"/>
    <w:rsid w:val="003C3044"/>
    <w:rsid w:val="003D5600"/>
    <w:rsid w:val="003E0797"/>
    <w:rsid w:val="004015B2"/>
    <w:rsid w:val="00404AA9"/>
    <w:rsid w:val="00407AF2"/>
    <w:rsid w:val="00472723"/>
    <w:rsid w:val="004974F2"/>
    <w:rsid w:val="004D634E"/>
    <w:rsid w:val="004D66D0"/>
    <w:rsid w:val="00501181"/>
    <w:rsid w:val="005149B1"/>
    <w:rsid w:val="00517B01"/>
    <w:rsid w:val="005523F8"/>
    <w:rsid w:val="00553627"/>
    <w:rsid w:val="005537C5"/>
    <w:rsid w:val="0059246F"/>
    <w:rsid w:val="0059453A"/>
    <w:rsid w:val="005A42CE"/>
    <w:rsid w:val="005B3CAC"/>
    <w:rsid w:val="005B3F37"/>
    <w:rsid w:val="005C0013"/>
    <w:rsid w:val="005F0273"/>
    <w:rsid w:val="00622042"/>
    <w:rsid w:val="0066450A"/>
    <w:rsid w:val="00673097"/>
    <w:rsid w:val="006A59FD"/>
    <w:rsid w:val="006D05AC"/>
    <w:rsid w:val="006D1B0C"/>
    <w:rsid w:val="006F338D"/>
    <w:rsid w:val="006F4ED8"/>
    <w:rsid w:val="007074E5"/>
    <w:rsid w:val="00710C8B"/>
    <w:rsid w:val="00724436"/>
    <w:rsid w:val="0073454F"/>
    <w:rsid w:val="00747ADF"/>
    <w:rsid w:val="00784193"/>
    <w:rsid w:val="00791B0F"/>
    <w:rsid w:val="007A3F91"/>
    <w:rsid w:val="007E0B22"/>
    <w:rsid w:val="007F6A17"/>
    <w:rsid w:val="008B523D"/>
    <w:rsid w:val="008F0122"/>
    <w:rsid w:val="00905778"/>
    <w:rsid w:val="009142C0"/>
    <w:rsid w:val="0092093A"/>
    <w:rsid w:val="00990FF3"/>
    <w:rsid w:val="009942D7"/>
    <w:rsid w:val="009A0022"/>
    <w:rsid w:val="00A63BD6"/>
    <w:rsid w:val="00A84486"/>
    <w:rsid w:val="00A97BE0"/>
    <w:rsid w:val="00AB45C5"/>
    <w:rsid w:val="00AF7BE5"/>
    <w:rsid w:val="00B22949"/>
    <w:rsid w:val="00B32F43"/>
    <w:rsid w:val="00B4723C"/>
    <w:rsid w:val="00BD18FC"/>
    <w:rsid w:val="00C027CA"/>
    <w:rsid w:val="00C34714"/>
    <w:rsid w:val="00C36D0E"/>
    <w:rsid w:val="00C50C63"/>
    <w:rsid w:val="00C57BDD"/>
    <w:rsid w:val="00C75038"/>
    <w:rsid w:val="00C97388"/>
    <w:rsid w:val="00CA0D60"/>
    <w:rsid w:val="00D24FA1"/>
    <w:rsid w:val="00DC4BE0"/>
    <w:rsid w:val="00DD0E22"/>
    <w:rsid w:val="00E066CE"/>
    <w:rsid w:val="00E12E8D"/>
    <w:rsid w:val="00E34A1F"/>
    <w:rsid w:val="00E42807"/>
    <w:rsid w:val="00E60A9D"/>
    <w:rsid w:val="00E616AB"/>
    <w:rsid w:val="00E66E8D"/>
    <w:rsid w:val="00E81CEE"/>
    <w:rsid w:val="00EB22B6"/>
    <w:rsid w:val="00EB5014"/>
    <w:rsid w:val="00EE6F57"/>
    <w:rsid w:val="00EF7A94"/>
    <w:rsid w:val="00F405AB"/>
    <w:rsid w:val="00F437C6"/>
    <w:rsid w:val="00F54839"/>
    <w:rsid w:val="00F64394"/>
    <w:rsid w:val="015032C2"/>
    <w:rsid w:val="03154ED3"/>
    <w:rsid w:val="0AD73052"/>
    <w:rsid w:val="14E108FD"/>
    <w:rsid w:val="21B63D23"/>
    <w:rsid w:val="5130116F"/>
    <w:rsid w:val="598A1149"/>
    <w:rsid w:val="5E805D45"/>
    <w:rsid w:val="60292854"/>
    <w:rsid w:val="70B62A4A"/>
    <w:rsid w:val="742F1231"/>
    <w:rsid w:val="7C070F6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name="annotation reference"/>
    <w:lsdException w:uiPriority="99" w:name="line number" w:locked="1"/>
    <w:lsdException w:uiPriority="99" w:name="page number" w:locked="1"/>
    <w:lsdException w:uiPriority="99" w:name="endnote reference" w:locked="1"/>
    <w:lsdException w:qFormat="1" w:unhideWhenUsed="0" w:uiPriority="99" w:name="endnote text"/>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nhideWhenUsed="0" w:uiPriority="99" w:name="Document Map"/>
    <w:lsdException w:unhideWhenUsed="0" w:uiPriority="99" w:semiHidden="0" w:name="Plain Text"/>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nhideWhenUsed="0" w:uiPriority="99" w:semiHidden="0" w:name="Table Web 3" w:locked="1"/>
    <w:lsdException w:qFormat="1" w:unhideWhenUsed="0" w:uiPriority="99" w:name="Balloon Text"/>
    <w:lsdException w:unhideWhenUsed="0" w:uiPriority="99" w:semiHidden="0" w:name="Table Grid"/>
    <w:lsdException w:unhideWhenUsed="0" w:uiPriority="99"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8"/>
      <w:szCs w:val="22"/>
      <w:lang w:val="en-US" w:eastAsia="zh-CN" w:bidi="ar-SA"/>
    </w:rPr>
  </w:style>
  <w:style w:type="paragraph" w:styleId="2">
    <w:name w:val="heading 1"/>
    <w:basedOn w:val="1"/>
    <w:next w:val="1"/>
    <w:link w:val="29"/>
    <w:qFormat/>
    <w:uiPriority w:val="99"/>
    <w:pPr>
      <w:keepNext/>
      <w:keepLines/>
      <w:pageBreakBefore/>
      <w:numPr>
        <w:ilvl w:val="0"/>
        <w:numId w:val="1"/>
      </w:numPr>
      <w:spacing w:before="120" w:after="120" w:line="240" w:lineRule="auto"/>
      <w:outlineLvl w:val="0"/>
    </w:pPr>
    <w:rPr>
      <w:rFonts w:eastAsia="黑体"/>
      <w:bCs/>
      <w:kern w:val="44"/>
      <w:sz w:val="32"/>
      <w:szCs w:val="44"/>
    </w:rPr>
  </w:style>
  <w:style w:type="paragraph" w:styleId="3">
    <w:name w:val="heading 2"/>
    <w:basedOn w:val="1"/>
    <w:next w:val="1"/>
    <w:link w:val="30"/>
    <w:qFormat/>
    <w:uiPriority w:val="99"/>
    <w:pPr>
      <w:keepNext/>
      <w:keepLines/>
      <w:numPr>
        <w:ilvl w:val="1"/>
        <w:numId w:val="1"/>
      </w:numPr>
      <w:spacing w:before="120" w:after="120" w:line="240" w:lineRule="auto"/>
      <w:outlineLvl w:val="1"/>
    </w:pPr>
    <w:rPr>
      <w:b/>
      <w:bCs/>
      <w:sz w:val="30"/>
      <w:szCs w:val="32"/>
    </w:rPr>
  </w:style>
  <w:style w:type="paragraph" w:styleId="4">
    <w:name w:val="heading 3"/>
    <w:basedOn w:val="1"/>
    <w:next w:val="1"/>
    <w:link w:val="31"/>
    <w:qFormat/>
    <w:uiPriority w:val="99"/>
    <w:pPr>
      <w:keepNext/>
      <w:keepLines/>
      <w:numPr>
        <w:ilvl w:val="2"/>
        <w:numId w:val="1"/>
      </w:numPr>
      <w:spacing w:before="120" w:after="120" w:line="240" w:lineRule="auto"/>
      <w:outlineLvl w:val="2"/>
    </w:pPr>
    <w:rPr>
      <w:b/>
      <w:bCs/>
      <w:sz w:val="30"/>
      <w:szCs w:val="32"/>
    </w:rPr>
  </w:style>
  <w:style w:type="paragraph" w:styleId="5">
    <w:name w:val="heading 4"/>
    <w:basedOn w:val="1"/>
    <w:next w:val="1"/>
    <w:link w:val="32"/>
    <w:qFormat/>
    <w:uiPriority w:val="99"/>
    <w:pPr>
      <w:keepNext/>
      <w:keepLines/>
      <w:numPr>
        <w:ilvl w:val="3"/>
        <w:numId w:val="1"/>
      </w:numPr>
      <w:spacing w:before="120" w:after="120" w:line="240" w:lineRule="auto"/>
      <w:outlineLvl w:val="3"/>
    </w:pPr>
    <w:rPr>
      <w:b/>
      <w:bCs/>
      <w:sz w:val="30"/>
      <w:szCs w:val="28"/>
    </w:rPr>
  </w:style>
  <w:style w:type="paragraph" w:styleId="6">
    <w:name w:val="heading 5"/>
    <w:basedOn w:val="1"/>
    <w:next w:val="1"/>
    <w:link w:val="33"/>
    <w:qFormat/>
    <w:uiPriority w:val="99"/>
    <w:pPr>
      <w:keepNext/>
      <w:keepLines/>
      <w:numPr>
        <w:ilvl w:val="4"/>
        <w:numId w:val="1"/>
      </w:numPr>
      <w:spacing w:before="120" w:after="120" w:line="240" w:lineRule="auto"/>
      <w:outlineLvl w:val="4"/>
    </w:pPr>
    <w:rPr>
      <w:bCs/>
      <w:szCs w:val="28"/>
    </w:rPr>
  </w:style>
  <w:style w:type="paragraph" w:styleId="7">
    <w:name w:val="heading 6"/>
    <w:basedOn w:val="1"/>
    <w:next w:val="1"/>
    <w:link w:val="34"/>
    <w:qFormat/>
    <w:uiPriority w:val="99"/>
    <w:pPr>
      <w:keepNext/>
      <w:keepLines/>
      <w:numPr>
        <w:ilvl w:val="5"/>
        <w:numId w:val="1"/>
      </w:numPr>
      <w:spacing w:before="240" w:after="64" w:line="320" w:lineRule="auto"/>
      <w:outlineLvl w:val="5"/>
    </w:pPr>
    <w:rPr>
      <w:bCs/>
      <w:szCs w:val="24"/>
    </w:rPr>
  </w:style>
  <w:style w:type="paragraph" w:styleId="8">
    <w:name w:val="heading 7"/>
    <w:basedOn w:val="1"/>
    <w:next w:val="1"/>
    <w:link w:val="35"/>
    <w:qFormat/>
    <w:uiPriority w:val="99"/>
    <w:pPr>
      <w:keepNext/>
      <w:keepLines/>
      <w:numPr>
        <w:ilvl w:val="6"/>
        <w:numId w:val="1"/>
      </w:numPr>
      <w:spacing w:before="240" w:after="64" w:line="320" w:lineRule="auto"/>
      <w:outlineLvl w:val="6"/>
    </w:pPr>
    <w:rPr>
      <w:b/>
      <w:bCs/>
      <w:szCs w:val="24"/>
    </w:rPr>
  </w:style>
  <w:style w:type="paragraph" w:styleId="9">
    <w:name w:val="heading 8"/>
    <w:basedOn w:val="1"/>
    <w:next w:val="1"/>
    <w:link w:val="36"/>
    <w:qFormat/>
    <w:uiPriority w:val="99"/>
    <w:pPr>
      <w:keepNext/>
      <w:keepLines/>
      <w:numPr>
        <w:ilvl w:val="7"/>
        <w:numId w:val="1"/>
      </w:numPr>
      <w:spacing w:before="240" w:after="64" w:line="320" w:lineRule="auto"/>
      <w:outlineLvl w:val="7"/>
    </w:pPr>
    <w:rPr>
      <w:rFonts w:ascii="Calibri Light" w:hAnsi="Calibri Light"/>
      <w:szCs w:val="24"/>
    </w:rPr>
  </w:style>
  <w:style w:type="paragraph" w:styleId="10">
    <w:name w:val="heading 9"/>
    <w:basedOn w:val="1"/>
    <w:next w:val="1"/>
    <w:link w:val="37"/>
    <w:qFormat/>
    <w:uiPriority w:val="99"/>
    <w:pPr>
      <w:keepNext/>
      <w:keepLines/>
      <w:numPr>
        <w:ilvl w:val="8"/>
        <w:numId w:val="1"/>
      </w:numPr>
      <w:spacing w:before="240" w:after="64" w:line="320" w:lineRule="auto"/>
      <w:outlineLvl w:val="8"/>
    </w:pPr>
    <w:rPr>
      <w:rFonts w:ascii="Calibri Light" w:hAnsi="Calibri Light"/>
      <w:sz w:val="21"/>
      <w:szCs w:val="21"/>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11">
    <w:name w:val="caption"/>
    <w:basedOn w:val="1"/>
    <w:next w:val="1"/>
    <w:qFormat/>
    <w:uiPriority w:val="99"/>
    <w:pPr>
      <w:adjustRightInd w:val="0"/>
      <w:spacing w:line="480" w:lineRule="exact"/>
      <w:jc w:val="center"/>
      <w:textAlignment w:val="baseline"/>
    </w:pPr>
    <w:rPr>
      <w:rFonts w:eastAsia="仿宋"/>
      <w:b/>
      <w:sz w:val="30"/>
      <w:szCs w:val="20"/>
    </w:rPr>
  </w:style>
  <w:style w:type="paragraph" w:styleId="12">
    <w:name w:val="Document Map"/>
    <w:basedOn w:val="1"/>
    <w:link w:val="40"/>
    <w:semiHidden/>
    <w:uiPriority w:val="99"/>
    <w:rPr>
      <w:rFonts w:ascii="Microsoft YaHei UI" w:eastAsia="Microsoft YaHei UI"/>
      <w:sz w:val="18"/>
      <w:szCs w:val="18"/>
    </w:rPr>
  </w:style>
  <w:style w:type="paragraph" w:styleId="13">
    <w:name w:val="annotation text"/>
    <w:basedOn w:val="1"/>
    <w:link w:val="38"/>
    <w:semiHidden/>
    <w:uiPriority w:val="99"/>
    <w:pPr>
      <w:jc w:val="left"/>
    </w:pPr>
  </w:style>
  <w:style w:type="paragraph" w:styleId="14">
    <w:name w:val="Plain Text"/>
    <w:basedOn w:val="1"/>
    <w:link w:val="41"/>
    <w:uiPriority w:val="99"/>
    <w:pPr>
      <w:spacing w:line="240" w:lineRule="auto"/>
    </w:pPr>
    <w:rPr>
      <w:rFonts w:ascii="宋体" w:hAnsi="Courier New"/>
      <w:sz w:val="21"/>
      <w:szCs w:val="20"/>
    </w:rPr>
  </w:style>
  <w:style w:type="paragraph" w:styleId="15">
    <w:name w:val="Date"/>
    <w:basedOn w:val="1"/>
    <w:next w:val="1"/>
    <w:link w:val="42"/>
    <w:semiHidden/>
    <w:qFormat/>
    <w:uiPriority w:val="99"/>
    <w:pPr>
      <w:ind w:left="100" w:leftChars="2500"/>
    </w:pPr>
  </w:style>
  <w:style w:type="paragraph" w:styleId="16">
    <w:name w:val="endnote text"/>
    <w:basedOn w:val="1"/>
    <w:link w:val="43"/>
    <w:semiHidden/>
    <w:qFormat/>
    <w:uiPriority w:val="99"/>
    <w:pPr>
      <w:snapToGrid w:val="0"/>
      <w:jc w:val="left"/>
    </w:pPr>
  </w:style>
  <w:style w:type="paragraph" w:styleId="17">
    <w:name w:val="Balloon Text"/>
    <w:basedOn w:val="1"/>
    <w:link w:val="44"/>
    <w:semiHidden/>
    <w:qFormat/>
    <w:uiPriority w:val="99"/>
    <w:pPr>
      <w:spacing w:line="240" w:lineRule="auto"/>
    </w:pPr>
    <w:rPr>
      <w:sz w:val="18"/>
      <w:szCs w:val="18"/>
    </w:rPr>
  </w:style>
  <w:style w:type="paragraph" w:styleId="18">
    <w:name w:val="footer"/>
    <w:basedOn w:val="1"/>
    <w:link w:val="45"/>
    <w:qFormat/>
    <w:uiPriority w:val="99"/>
    <w:pPr>
      <w:tabs>
        <w:tab w:val="center" w:pos="4153"/>
        <w:tab w:val="right" w:pos="8306"/>
      </w:tabs>
      <w:snapToGrid w:val="0"/>
      <w:jc w:val="left"/>
    </w:pPr>
    <w:rPr>
      <w:sz w:val="18"/>
      <w:szCs w:val="18"/>
    </w:rPr>
  </w:style>
  <w:style w:type="paragraph" w:styleId="19">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style>
  <w:style w:type="paragraph" w:styleId="21">
    <w:name w:val="toc 2"/>
    <w:basedOn w:val="1"/>
    <w:next w:val="1"/>
    <w:qFormat/>
    <w:uiPriority w:val="39"/>
    <w:pPr>
      <w:ind w:left="420" w:leftChars="200"/>
    </w:pPr>
  </w:style>
  <w:style w:type="paragraph" w:styleId="22">
    <w:name w:val="Normal (Web)"/>
    <w:basedOn w:val="1"/>
    <w:semiHidden/>
    <w:qFormat/>
    <w:uiPriority w:val="99"/>
    <w:pPr>
      <w:widowControl/>
      <w:spacing w:before="100" w:beforeAutospacing="1" w:after="100" w:afterAutospacing="1"/>
      <w:jc w:val="left"/>
    </w:pPr>
    <w:rPr>
      <w:rFonts w:ascii="宋体" w:hAnsi="宋体" w:cs="宋体"/>
      <w:kern w:val="0"/>
      <w:szCs w:val="24"/>
    </w:rPr>
  </w:style>
  <w:style w:type="paragraph" w:styleId="23">
    <w:name w:val="annotation subject"/>
    <w:basedOn w:val="13"/>
    <w:next w:val="13"/>
    <w:link w:val="39"/>
    <w:semiHidden/>
    <w:uiPriority w:val="99"/>
    <w:rPr>
      <w:b/>
      <w:bCs/>
    </w:rPr>
  </w:style>
  <w:style w:type="table" w:styleId="25">
    <w:name w:val="Table Grid"/>
    <w:basedOn w:val="24"/>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Hyperlink"/>
    <w:uiPriority w:val="99"/>
    <w:rPr>
      <w:rFonts w:cs="Times New Roman"/>
      <w:color w:val="0563C1"/>
      <w:u w:val="single"/>
    </w:rPr>
  </w:style>
  <w:style w:type="character" w:styleId="28">
    <w:name w:val="annotation reference"/>
    <w:semiHidden/>
    <w:uiPriority w:val="99"/>
    <w:rPr>
      <w:rFonts w:cs="Times New Roman"/>
      <w:sz w:val="21"/>
      <w:szCs w:val="21"/>
    </w:rPr>
  </w:style>
  <w:style w:type="character" w:customStyle="1" w:styleId="29">
    <w:name w:val="标题 1 字符"/>
    <w:link w:val="2"/>
    <w:locked/>
    <w:uiPriority w:val="99"/>
    <w:rPr>
      <w:rFonts w:ascii="Times New Roman" w:hAnsi="Times New Roman" w:eastAsia="黑体" w:cs="Times New Roman"/>
      <w:bCs/>
      <w:kern w:val="44"/>
      <w:sz w:val="44"/>
      <w:szCs w:val="44"/>
    </w:rPr>
  </w:style>
  <w:style w:type="character" w:customStyle="1" w:styleId="30">
    <w:name w:val="标题 2 字符"/>
    <w:link w:val="3"/>
    <w:locked/>
    <w:uiPriority w:val="99"/>
    <w:rPr>
      <w:rFonts w:ascii="Times New Roman" w:hAnsi="Times New Roman" w:eastAsia="宋体" w:cs="Times New Roman"/>
      <w:b/>
      <w:bCs/>
      <w:sz w:val="32"/>
      <w:szCs w:val="32"/>
    </w:rPr>
  </w:style>
  <w:style w:type="character" w:customStyle="1" w:styleId="31">
    <w:name w:val="标题 3 字符"/>
    <w:link w:val="4"/>
    <w:locked/>
    <w:uiPriority w:val="99"/>
    <w:rPr>
      <w:rFonts w:ascii="Times New Roman" w:hAnsi="Times New Roman" w:eastAsia="宋体" w:cs="Times New Roman"/>
      <w:b/>
      <w:bCs/>
      <w:sz w:val="32"/>
      <w:szCs w:val="32"/>
    </w:rPr>
  </w:style>
  <w:style w:type="character" w:customStyle="1" w:styleId="32">
    <w:name w:val="标题 4 字符"/>
    <w:link w:val="5"/>
    <w:locked/>
    <w:uiPriority w:val="99"/>
    <w:rPr>
      <w:rFonts w:ascii="Times New Roman" w:hAnsi="Times New Roman" w:eastAsia="宋体" w:cs="Times New Roman"/>
      <w:b/>
      <w:bCs/>
      <w:sz w:val="28"/>
      <w:szCs w:val="28"/>
    </w:rPr>
  </w:style>
  <w:style w:type="character" w:customStyle="1" w:styleId="33">
    <w:name w:val="标题 5 字符"/>
    <w:link w:val="6"/>
    <w:locked/>
    <w:uiPriority w:val="99"/>
    <w:rPr>
      <w:rFonts w:ascii="Times New Roman" w:hAnsi="Times New Roman" w:eastAsia="宋体" w:cs="Times New Roman"/>
      <w:bCs/>
      <w:sz w:val="28"/>
      <w:szCs w:val="28"/>
    </w:rPr>
  </w:style>
  <w:style w:type="character" w:customStyle="1" w:styleId="34">
    <w:name w:val="标题 6 字符"/>
    <w:link w:val="7"/>
    <w:semiHidden/>
    <w:locked/>
    <w:uiPriority w:val="99"/>
    <w:rPr>
      <w:rFonts w:ascii="Times New Roman" w:hAnsi="Times New Roman" w:eastAsia="宋体" w:cs="Times New Roman"/>
      <w:bCs/>
      <w:sz w:val="24"/>
      <w:szCs w:val="24"/>
    </w:rPr>
  </w:style>
  <w:style w:type="character" w:customStyle="1" w:styleId="35">
    <w:name w:val="标题 7 字符"/>
    <w:link w:val="8"/>
    <w:semiHidden/>
    <w:locked/>
    <w:uiPriority w:val="99"/>
    <w:rPr>
      <w:rFonts w:ascii="Times New Roman" w:hAnsi="Times New Roman" w:eastAsia="宋体" w:cs="Times New Roman"/>
      <w:b/>
      <w:bCs/>
      <w:sz w:val="24"/>
      <w:szCs w:val="24"/>
    </w:rPr>
  </w:style>
  <w:style w:type="character" w:customStyle="1" w:styleId="36">
    <w:name w:val="标题 8 字符"/>
    <w:link w:val="9"/>
    <w:semiHidden/>
    <w:locked/>
    <w:uiPriority w:val="99"/>
    <w:rPr>
      <w:rFonts w:ascii="Calibri Light" w:hAnsi="Calibri Light" w:eastAsia="宋体" w:cs="Times New Roman"/>
      <w:sz w:val="24"/>
      <w:szCs w:val="24"/>
    </w:rPr>
  </w:style>
  <w:style w:type="character" w:customStyle="1" w:styleId="37">
    <w:name w:val="标题 9 字符"/>
    <w:link w:val="10"/>
    <w:semiHidden/>
    <w:locked/>
    <w:uiPriority w:val="99"/>
    <w:rPr>
      <w:rFonts w:ascii="Calibri Light" w:hAnsi="Calibri Light" w:eastAsia="宋体" w:cs="Times New Roman"/>
      <w:sz w:val="21"/>
      <w:szCs w:val="21"/>
    </w:rPr>
  </w:style>
  <w:style w:type="character" w:customStyle="1" w:styleId="38">
    <w:name w:val="批注文字 字符"/>
    <w:link w:val="13"/>
    <w:semiHidden/>
    <w:qFormat/>
    <w:locked/>
    <w:uiPriority w:val="99"/>
    <w:rPr>
      <w:rFonts w:ascii="Times New Roman" w:hAnsi="Times New Roman" w:eastAsia="宋体" w:cs="Times New Roman"/>
      <w:sz w:val="24"/>
    </w:rPr>
  </w:style>
  <w:style w:type="character" w:customStyle="1" w:styleId="39">
    <w:name w:val="批注主题 字符"/>
    <w:link w:val="23"/>
    <w:semiHidden/>
    <w:qFormat/>
    <w:locked/>
    <w:uiPriority w:val="99"/>
    <w:rPr>
      <w:rFonts w:ascii="Times New Roman" w:hAnsi="Times New Roman" w:eastAsia="宋体" w:cs="Times New Roman"/>
      <w:b/>
      <w:bCs/>
      <w:sz w:val="24"/>
    </w:rPr>
  </w:style>
  <w:style w:type="character" w:customStyle="1" w:styleId="40">
    <w:name w:val="文档结构图 字符"/>
    <w:link w:val="12"/>
    <w:semiHidden/>
    <w:qFormat/>
    <w:locked/>
    <w:uiPriority w:val="99"/>
    <w:rPr>
      <w:rFonts w:ascii="Microsoft YaHei UI" w:hAnsi="Times New Roman" w:eastAsia="Microsoft YaHei UI" w:cs="Times New Roman"/>
      <w:sz w:val="18"/>
      <w:szCs w:val="18"/>
    </w:rPr>
  </w:style>
  <w:style w:type="character" w:customStyle="1" w:styleId="41">
    <w:name w:val="纯文本 字符1"/>
    <w:link w:val="14"/>
    <w:locked/>
    <w:uiPriority w:val="99"/>
    <w:rPr>
      <w:rFonts w:ascii="宋体" w:hAnsi="Courier New" w:eastAsia="宋体" w:cs="Times New Roman"/>
      <w:sz w:val="20"/>
      <w:szCs w:val="20"/>
    </w:rPr>
  </w:style>
  <w:style w:type="character" w:customStyle="1" w:styleId="42">
    <w:name w:val="日期 字符"/>
    <w:link w:val="15"/>
    <w:semiHidden/>
    <w:qFormat/>
    <w:locked/>
    <w:uiPriority w:val="99"/>
    <w:rPr>
      <w:rFonts w:ascii="Times New Roman" w:hAnsi="Times New Roman" w:eastAsia="宋体" w:cs="Times New Roman"/>
      <w:sz w:val="24"/>
    </w:rPr>
  </w:style>
  <w:style w:type="character" w:customStyle="1" w:styleId="43">
    <w:name w:val="尾注文本 字符"/>
    <w:link w:val="16"/>
    <w:semiHidden/>
    <w:qFormat/>
    <w:locked/>
    <w:uiPriority w:val="99"/>
    <w:rPr>
      <w:rFonts w:ascii="Times New Roman" w:hAnsi="Times New Roman" w:eastAsia="宋体" w:cs="Times New Roman"/>
      <w:sz w:val="24"/>
    </w:rPr>
  </w:style>
  <w:style w:type="character" w:customStyle="1" w:styleId="44">
    <w:name w:val="批注框文本 字符"/>
    <w:link w:val="17"/>
    <w:semiHidden/>
    <w:qFormat/>
    <w:locked/>
    <w:uiPriority w:val="99"/>
    <w:rPr>
      <w:rFonts w:ascii="Times New Roman" w:hAnsi="Times New Roman" w:eastAsia="宋体" w:cs="Times New Roman"/>
      <w:sz w:val="18"/>
      <w:szCs w:val="18"/>
    </w:rPr>
  </w:style>
  <w:style w:type="character" w:customStyle="1" w:styleId="45">
    <w:name w:val="页脚 字符"/>
    <w:link w:val="18"/>
    <w:qFormat/>
    <w:locked/>
    <w:uiPriority w:val="99"/>
    <w:rPr>
      <w:rFonts w:cs="Times New Roman"/>
      <w:sz w:val="18"/>
      <w:szCs w:val="18"/>
    </w:rPr>
  </w:style>
  <w:style w:type="character" w:customStyle="1" w:styleId="46">
    <w:name w:val="页眉 字符"/>
    <w:link w:val="19"/>
    <w:qFormat/>
    <w:locked/>
    <w:uiPriority w:val="99"/>
    <w:rPr>
      <w:rFonts w:cs="Times New Roman"/>
      <w:sz w:val="18"/>
      <w:szCs w:val="18"/>
    </w:rPr>
  </w:style>
  <w:style w:type="paragraph" w:styleId="47">
    <w:name w:val="List Paragraph"/>
    <w:basedOn w:val="1"/>
    <w:qFormat/>
    <w:uiPriority w:val="99"/>
    <w:pPr>
      <w:ind w:firstLine="420" w:firstLineChars="200"/>
    </w:pPr>
  </w:style>
  <w:style w:type="paragraph" w:customStyle="1" w:styleId="48">
    <w:name w:val="CTI-尾注"/>
    <w:basedOn w:val="16"/>
    <w:link w:val="49"/>
    <w:qFormat/>
    <w:uiPriority w:val="99"/>
    <w:pPr>
      <w:spacing w:line="240" w:lineRule="auto"/>
    </w:pPr>
    <w:rPr>
      <w:sz w:val="18"/>
      <w:szCs w:val="18"/>
    </w:rPr>
  </w:style>
  <w:style w:type="character" w:customStyle="1" w:styleId="49">
    <w:name w:val="CTI-尾注 Char"/>
    <w:link w:val="48"/>
    <w:qFormat/>
    <w:locked/>
    <w:uiPriority w:val="99"/>
    <w:rPr>
      <w:rFonts w:ascii="Times New Roman" w:hAnsi="Times New Roman" w:eastAsia="宋体" w:cs="Times New Roman"/>
      <w:sz w:val="18"/>
      <w:szCs w:val="18"/>
    </w:rPr>
  </w:style>
  <w:style w:type="character" w:customStyle="1" w:styleId="50">
    <w:name w:val="纯文本 字符"/>
    <w:semiHidden/>
    <w:qFormat/>
    <w:uiPriority w:val="99"/>
    <w:rPr>
      <w:rFonts w:ascii="宋体" w:hAnsi="Courier New" w:cs="Courier New"/>
      <w:sz w:val="28"/>
    </w:rPr>
  </w:style>
  <w:style w:type="paragraph" w:customStyle="1" w:styleId="51">
    <w:name w:val="表格内容"/>
    <w:basedOn w:val="1"/>
    <w:qFormat/>
    <w:uiPriority w:val="99"/>
    <w:pPr>
      <w:jc w:val="left"/>
      <w:textAlignment w:val="baseline"/>
    </w:pPr>
    <w:rPr>
      <w:rFonts w:eastAsia="仿宋"/>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wenjun\AppData\Roaming\Microsoft\Templates\CTI-Word&#25991;&#26723;&#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CTI-Word文档模板</Template>
  <Company>华测认证</Company>
  <Pages>18</Pages>
  <Words>1227</Words>
  <Characters>6996</Characters>
  <Lines>58</Lines>
  <Paragraphs>16</Paragraphs>
  <TotalTime>1</TotalTime>
  <ScaleCrop>false</ScaleCrop>
  <LinksUpToDate>false</LinksUpToDate>
  <CharactersWithSpaces>8207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2019-04-03T12:00:00Z</dcterms:created>
  <dc:creator>Durward</dc:creator>
  <dc:description>华测认证文本标准模板</dc:description>
  <cp:keywords>华测认证</cp:keywords>
  <cp:lastModifiedBy>原来名字真的可以起这么长</cp:lastModifiedBy>
  <cp:lastPrinted>2020-10-18T03:57:32Z</cp:lastPrinted>
  <dcterms:modified xsi:type="dcterms:W3CDTF">2020-10-18T03:57:37Z</dcterms:modified>
  <dc:title>大连天瑞水泥有限公司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2052-11.1.0.9999</vt:lpwstr>
  </property>
</Properties>
</file>